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07C43">
      <w:pPr>
        <w:spacing w:line="240" w:lineRule="auto"/>
      </w:pPr>
    </w:p>
    <w:p w14:paraId="5E17AB72">
      <w:pPr>
        <w:spacing w:line="240" w:lineRule="auto"/>
      </w:pPr>
    </w:p>
    <w:p w14:paraId="79B24584">
      <w:pPr>
        <w:spacing w:line="240" w:lineRule="auto"/>
        <w:ind w:firstLine="4200" w:firstLineChars="500"/>
        <w:rPr>
          <w:sz w:val="84"/>
          <w:szCs w:val="84"/>
        </w:rPr>
      </w:pPr>
      <w:r>
        <w:rPr>
          <w:rFonts w:hint="eastAsia"/>
          <w:sz w:val="84"/>
          <w:szCs w:val="84"/>
        </w:rPr>
        <w:t>询</w:t>
      </w:r>
    </w:p>
    <w:p w14:paraId="77C88E62">
      <w:pPr>
        <w:spacing w:line="240" w:lineRule="auto"/>
        <w:jc w:val="center"/>
        <w:rPr>
          <w:sz w:val="84"/>
          <w:szCs w:val="84"/>
        </w:rPr>
      </w:pPr>
      <w:r>
        <w:rPr>
          <w:rFonts w:hint="eastAsia"/>
          <w:sz w:val="84"/>
          <w:szCs w:val="84"/>
        </w:rPr>
        <w:t>价</w:t>
      </w:r>
    </w:p>
    <w:p w14:paraId="1D4B7B23">
      <w:pPr>
        <w:spacing w:line="240" w:lineRule="auto"/>
        <w:jc w:val="center"/>
        <w:rPr>
          <w:sz w:val="84"/>
          <w:szCs w:val="84"/>
        </w:rPr>
      </w:pPr>
      <w:r>
        <w:rPr>
          <w:rFonts w:hint="eastAsia"/>
          <w:sz w:val="84"/>
          <w:szCs w:val="84"/>
        </w:rPr>
        <w:t>文</w:t>
      </w:r>
    </w:p>
    <w:p w14:paraId="565279CD">
      <w:pPr>
        <w:spacing w:line="240" w:lineRule="auto"/>
        <w:jc w:val="center"/>
        <w:rPr>
          <w:sz w:val="84"/>
          <w:szCs w:val="84"/>
        </w:rPr>
      </w:pPr>
      <w:r>
        <w:rPr>
          <w:rFonts w:hint="eastAsia"/>
          <w:sz w:val="84"/>
          <w:szCs w:val="84"/>
        </w:rPr>
        <w:t>件</w:t>
      </w:r>
    </w:p>
    <w:p w14:paraId="35179B2B">
      <w:pPr>
        <w:spacing w:line="240" w:lineRule="auto"/>
        <w:jc w:val="center"/>
      </w:pPr>
    </w:p>
    <w:p w14:paraId="173D1AF6">
      <w:pPr>
        <w:spacing w:line="240" w:lineRule="auto"/>
        <w:rPr>
          <w:rFonts w:cstheme="minorEastAsia"/>
          <w:sz w:val="32"/>
          <w:szCs w:val="32"/>
        </w:rPr>
      </w:pPr>
    </w:p>
    <w:p w14:paraId="4EC793F6">
      <w:pPr>
        <w:rPr>
          <w:rFonts w:cstheme="minorEastAsia"/>
          <w:sz w:val="32"/>
          <w:szCs w:val="32"/>
        </w:rPr>
      </w:pPr>
    </w:p>
    <w:p w14:paraId="3A824034">
      <w:pPr>
        <w:rPr>
          <w:rFonts w:cstheme="minorEastAsia"/>
          <w:sz w:val="32"/>
          <w:szCs w:val="32"/>
        </w:rPr>
      </w:pPr>
    </w:p>
    <w:p w14:paraId="5D61D623">
      <w:pPr>
        <w:rPr>
          <w:rFonts w:cstheme="minorEastAsia"/>
          <w:sz w:val="32"/>
          <w:szCs w:val="32"/>
        </w:rPr>
      </w:pPr>
    </w:p>
    <w:p w14:paraId="65A89776">
      <w:pPr>
        <w:ind w:firstLine="1600" w:firstLineChars="500"/>
        <w:rPr>
          <w:rFonts w:cstheme="minorEastAsia"/>
          <w:sz w:val="32"/>
          <w:szCs w:val="32"/>
        </w:rPr>
      </w:pPr>
      <w:r>
        <w:rPr>
          <w:rFonts w:hint="eastAsia" w:cstheme="minorEastAsia"/>
          <w:sz w:val="32"/>
          <w:szCs w:val="32"/>
        </w:rPr>
        <w:t>项目编号：</w:t>
      </w:r>
      <w:bookmarkStart w:id="0" w:name="_Hlk152841174"/>
      <w:bookmarkStart w:id="1" w:name="_Hlk150499820"/>
      <w:r>
        <w:rPr>
          <w:sz w:val="32"/>
          <w:szCs w:val="32"/>
        </w:rPr>
        <w:t>XYJS-CGXJ-202</w:t>
      </w:r>
      <w:r>
        <w:rPr>
          <w:rFonts w:hint="eastAsia"/>
          <w:sz w:val="32"/>
          <w:szCs w:val="32"/>
        </w:rPr>
        <w:t>6</w:t>
      </w:r>
      <w:r>
        <w:rPr>
          <w:sz w:val="32"/>
          <w:szCs w:val="32"/>
        </w:rPr>
        <w:t>-</w:t>
      </w:r>
      <w:bookmarkEnd w:id="0"/>
      <w:bookmarkEnd w:id="1"/>
      <w:r>
        <w:rPr>
          <w:sz w:val="32"/>
          <w:szCs w:val="32"/>
        </w:rPr>
        <w:t>0</w:t>
      </w:r>
      <w:r>
        <w:rPr>
          <w:rFonts w:hint="eastAsia"/>
          <w:sz w:val="32"/>
          <w:szCs w:val="32"/>
        </w:rPr>
        <w:t>2</w:t>
      </w:r>
    </w:p>
    <w:p w14:paraId="05BE3C47">
      <w:pPr>
        <w:ind w:left="3196" w:leftChars="665" w:hanging="1600" w:hangingChars="500"/>
        <w:rPr>
          <w:sz w:val="32"/>
          <w:szCs w:val="32"/>
        </w:rPr>
      </w:pPr>
      <w:r>
        <w:rPr>
          <w:rFonts w:hint="eastAsia"/>
          <w:sz w:val="32"/>
          <w:szCs w:val="32"/>
        </w:rPr>
        <w:t>项目名称：中国矿业大学徐海学院校园基础设施建设项目（22#、23#、24#宿舍楼）基坑监测和沉降观测工程</w:t>
      </w:r>
    </w:p>
    <w:p w14:paraId="6E1B27FD">
      <w:pPr>
        <w:rPr>
          <w:sz w:val="32"/>
          <w:szCs w:val="32"/>
        </w:rPr>
      </w:pPr>
    </w:p>
    <w:p w14:paraId="22D9F798">
      <w:pPr>
        <w:rPr>
          <w:sz w:val="32"/>
          <w:szCs w:val="32"/>
        </w:rPr>
      </w:pPr>
    </w:p>
    <w:p w14:paraId="1EFC3E3D">
      <w:pPr>
        <w:jc w:val="center"/>
        <w:rPr>
          <w:sz w:val="32"/>
          <w:szCs w:val="32"/>
        </w:rPr>
      </w:pPr>
    </w:p>
    <w:p w14:paraId="4DEC7098">
      <w:pPr>
        <w:jc w:val="center"/>
        <w:rPr>
          <w:rFonts w:cs="Times New Roman"/>
          <w:sz w:val="32"/>
          <w:szCs w:val="32"/>
        </w:rPr>
      </w:pPr>
      <w:r>
        <w:rPr>
          <w:rFonts w:hint="eastAsia"/>
          <w:sz w:val="32"/>
          <w:szCs w:val="32"/>
        </w:rPr>
        <w:t>采购人：中国矿业大学徐海学院</w:t>
      </w:r>
    </w:p>
    <w:p w14:paraId="02A8472C">
      <w:pPr>
        <w:jc w:val="center"/>
        <w:rPr>
          <w:sz w:val="32"/>
          <w:szCs w:val="32"/>
        </w:rPr>
      </w:pPr>
    </w:p>
    <w:p w14:paraId="1FD9AC33">
      <w:pPr>
        <w:jc w:val="center"/>
        <w:rPr>
          <w:sz w:val="32"/>
          <w:szCs w:val="32"/>
        </w:rPr>
      </w:pPr>
    </w:p>
    <w:p w14:paraId="363E0DB8">
      <w:pPr>
        <w:jc w:val="center"/>
        <w:rPr>
          <w:sz w:val="32"/>
          <w:szCs w:val="32"/>
        </w:rPr>
        <w:sectPr>
          <w:footerReference r:id="rId7" w:type="first"/>
          <w:headerReference r:id="rId5" w:type="default"/>
          <w:footerReference r:id="rId6" w:type="default"/>
          <w:pgSz w:w="11906" w:h="16838"/>
          <w:pgMar w:top="1474" w:right="991" w:bottom="1474" w:left="1531" w:header="851" w:footer="992" w:gutter="0"/>
          <w:pgNumType w:start="0"/>
          <w:cols w:space="720" w:num="1"/>
          <w:titlePg/>
          <w:docGrid w:type="lines" w:linePitch="312" w:charSpace="0"/>
        </w:sectPr>
      </w:pPr>
      <w:r>
        <w:rPr>
          <w:rFonts w:hint="eastAsia"/>
          <w:sz w:val="32"/>
          <w:szCs w:val="32"/>
        </w:rPr>
        <w:t>2026年6月</w:t>
      </w:r>
    </w:p>
    <w:p w14:paraId="69E6A122">
      <w:pPr>
        <w:jc w:val="center"/>
        <w:rPr>
          <w:b/>
          <w:bCs/>
          <w:sz w:val="36"/>
          <w:szCs w:val="36"/>
        </w:rPr>
      </w:pPr>
      <w:r>
        <w:rPr>
          <w:rFonts w:hint="eastAsia"/>
          <w:b/>
          <w:bCs/>
          <w:sz w:val="36"/>
          <w:szCs w:val="36"/>
        </w:rPr>
        <w:t>中国矿业大学徐海学院校园基础设施建设项目（22#、23#、24#宿舍楼）基坑监测和沉降观测工程询价文件</w:t>
      </w:r>
    </w:p>
    <w:p w14:paraId="62E0D9FB">
      <w:pPr>
        <w:jc w:val="center"/>
        <w:rPr>
          <w:b/>
          <w:bCs/>
          <w:sz w:val="36"/>
          <w:szCs w:val="36"/>
        </w:rPr>
      </w:pPr>
    </w:p>
    <w:p w14:paraId="4FC09507">
      <w:pPr>
        <w:pStyle w:val="19"/>
      </w:pPr>
      <w:r>
        <w:rPr>
          <w:rFonts w:hint="eastAsia"/>
        </w:rPr>
        <w:t>项目概况</w:t>
      </w:r>
    </w:p>
    <w:p w14:paraId="2A221B2A">
      <w:pPr>
        <w:numPr>
          <w:ilvl w:val="0"/>
          <w:numId w:val="2"/>
        </w:numPr>
        <w:ind w:firstLine="480" w:firstLineChars="200"/>
      </w:pPr>
      <w:r>
        <w:rPr>
          <w:rFonts w:hint="eastAsia"/>
        </w:rPr>
        <w:t>项目名称：中国矿业大学徐海学院校园基础设施建设项目（22#、23#、24#宿舍楼）基坑监测和沉降观测工程。</w:t>
      </w:r>
    </w:p>
    <w:p w14:paraId="19F0E361">
      <w:pPr>
        <w:ind w:firstLine="480" w:firstLineChars="200"/>
      </w:pPr>
      <w:r>
        <w:rPr>
          <w:rFonts w:hint="eastAsia"/>
        </w:rPr>
        <w:t>2. 项目地址：江苏省徐州市铜山区铜山街道汉沟村。</w:t>
      </w:r>
    </w:p>
    <w:p w14:paraId="5DD8E610">
      <w:pPr>
        <w:ind w:firstLine="480" w:firstLineChars="200"/>
      </w:pPr>
      <w:r>
        <w:rPr>
          <w:rFonts w:hint="eastAsia"/>
        </w:rPr>
        <w:t>3. 项目规模：本项目总建筑面积约6万平方米，分为3栋宿舍楼，分别为22#宿舍楼（6层）、23#宿舍楼（6层）、24#宿舍楼（局部8层），基础采用锥形独立基础，部分采用条形基础。</w:t>
      </w:r>
    </w:p>
    <w:p w14:paraId="3BE69241">
      <w:pPr>
        <w:ind w:firstLine="480" w:firstLineChars="200"/>
      </w:pPr>
      <w:r>
        <w:rPr>
          <w:rFonts w:hint="eastAsia"/>
        </w:rPr>
        <w:t>4. 基坑总周长1268.9m，基坑总开挖面积为12090.3㎡。</w:t>
      </w:r>
    </w:p>
    <w:p w14:paraId="0448789D">
      <w:pPr>
        <w:ind w:firstLine="426" w:firstLineChars="177"/>
        <w:rPr>
          <w:b/>
          <w:bCs/>
        </w:rPr>
      </w:pPr>
      <w:r>
        <w:rPr>
          <w:rFonts w:hint="eastAsia"/>
          <w:b/>
          <w:bCs/>
        </w:rPr>
        <w:t>二、供应商资格要求</w:t>
      </w:r>
    </w:p>
    <w:p w14:paraId="1600AF50">
      <w:pPr>
        <w:ind w:firstLine="480" w:firstLineChars="200"/>
      </w:pPr>
      <w:r>
        <w:rPr>
          <w:rFonts w:hint="eastAsia"/>
        </w:rPr>
        <w:t>1. 在中华人民共和国境内注册，具有独立法人资格。</w:t>
      </w:r>
    </w:p>
    <w:p w14:paraId="156374C4">
      <w:pPr>
        <w:tabs>
          <w:tab w:val="left" w:pos="993"/>
        </w:tabs>
        <w:ind w:firstLine="480" w:firstLineChars="200"/>
      </w:pPr>
      <w:r>
        <w:rPr>
          <w:rFonts w:hint="eastAsia"/>
        </w:rPr>
        <w:t>2．单位负责人为同一人或者存在直接控股、管理关系的不同供应商，不得参加同一合同项下的采购活动。</w:t>
      </w:r>
    </w:p>
    <w:p w14:paraId="12253956">
      <w:pPr>
        <w:ind w:firstLine="480" w:firstLineChars="200"/>
        <w:rPr>
          <w:rFonts w:hint="eastAsia" w:eastAsia="宋体"/>
          <w:highlight w:val="none"/>
          <w:lang w:eastAsia="zh-CN"/>
        </w:rPr>
      </w:pPr>
      <w:r>
        <w:rPr>
          <w:rFonts w:hint="eastAsia"/>
          <w:highlight w:val="none"/>
        </w:rPr>
        <w:t>3. 具备国家测绘局颁发的测绘（业务范围含工程测量）乙级及以上测绘资质</w:t>
      </w:r>
      <w:r>
        <w:rPr>
          <w:rFonts w:hint="eastAsia"/>
          <w:highlight w:val="none"/>
          <w:lang w:eastAsia="zh-CN"/>
        </w:rPr>
        <w:t>。</w:t>
      </w:r>
    </w:p>
    <w:p w14:paraId="2A3EF0EA">
      <w:pPr>
        <w:ind w:firstLine="480" w:firstLineChars="200"/>
        <w:rPr>
          <w:rFonts w:hint="eastAsia" w:eastAsia="宋体"/>
          <w:highlight w:val="none"/>
          <w:lang w:eastAsia="zh-CN"/>
        </w:rPr>
      </w:pPr>
      <w:r>
        <w:rPr>
          <w:rFonts w:hint="eastAsia"/>
          <w:highlight w:val="none"/>
        </w:rPr>
        <w:t>4. 拟派监测项目负责人必须具有岩土工程或工程测量相关专业中级或以上职称</w:t>
      </w:r>
      <w:r>
        <w:rPr>
          <w:rFonts w:hint="eastAsia"/>
          <w:highlight w:val="none"/>
          <w:lang w:eastAsia="zh-CN"/>
        </w:rPr>
        <w:t>。</w:t>
      </w:r>
    </w:p>
    <w:p w14:paraId="1163CDCA">
      <w:pPr>
        <w:ind w:firstLine="480" w:firstLineChars="200"/>
        <w:rPr>
          <w:highlight w:val="none"/>
        </w:rPr>
      </w:pPr>
      <w:r>
        <w:rPr>
          <w:rFonts w:hint="eastAsia"/>
          <w:highlight w:val="none"/>
        </w:rPr>
        <w:t>5. 监测单位不得与被监测项目的基坑开挖与支护施工单位、监理单位有任何隶属关系和经济利害关系。</w:t>
      </w:r>
    </w:p>
    <w:p w14:paraId="71D567F9">
      <w:pPr>
        <w:ind w:firstLine="480" w:firstLineChars="200"/>
      </w:pPr>
      <w:r>
        <w:rPr>
          <w:rFonts w:hint="eastAsia"/>
        </w:rPr>
        <w:t>6.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28A37C36">
      <w:pPr>
        <w:ind w:firstLine="480" w:firstLineChars="200"/>
      </w:pPr>
      <w:r>
        <w:rPr>
          <w:rFonts w:hint="eastAsia"/>
        </w:rPr>
        <w:t>查询渠道：“信用中国”网（www.creditchina.gov.cn）。</w:t>
      </w:r>
    </w:p>
    <w:p w14:paraId="0982B376">
      <w:pPr>
        <w:ind w:firstLine="480" w:firstLineChars="200"/>
      </w:pPr>
      <w:r>
        <w:rPr>
          <w:rFonts w:hint="eastAsia"/>
        </w:rPr>
        <w:t>7．本项目不接受联合体参加。</w:t>
      </w:r>
    </w:p>
    <w:p w14:paraId="4A6E170A">
      <w:pPr>
        <w:ind w:firstLine="482" w:firstLineChars="200"/>
        <w:rPr>
          <w:b/>
          <w:bCs/>
        </w:rPr>
      </w:pPr>
      <w:r>
        <w:rPr>
          <w:rFonts w:hint="eastAsia"/>
          <w:b/>
          <w:bCs/>
        </w:rPr>
        <w:t>三、提交响应文件要求</w:t>
      </w:r>
    </w:p>
    <w:p w14:paraId="229BF155">
      <w:pPr>
        <w:ind w:firstLine="480" w:firstLineChars="200"/>
      </w:pPr>
      <w:r>
        <w:rPr>
          <w:rFonts w:hint="eastAsia"/>
        </w:rPr>
        <w:t>1. 截止提交响应文件时间：</w:t>
      </w:r>
      <w:r>
        <w:rPr>
          <w:rFonts w:hint="eastAsia"/>
          <w:highlight w:val="none"/>
        </w:rPr>
        <w:t>2026年6月5日9:30前（北京时间）</w:t>
      </w:r>
      <w:r>
        <w:rPr>
          <w:rFonts w:hint="eastAsia"/>
        </w:rPr>
        <w:t>。在截止时间后寄达的响应文件为无效文件，将被拒收（以签收时间为准）。</w:t>
      </w:r>
    </w:p>
    <w:p w14:paraId="49B9B888">
      <w:pPr>
        <w:ind w:firstLine="480" w:firstLineChars="200"/>
      </w:pPr>
      <w:r>
        <w:t xml:space="preserve">2. </w:t>
      </w:r>
      <w:r>
        <w:rPr>
          <w:rFonts w:hint="eastAsia"/>
        </w:rPr>
        <w:t>提交响应文件方式：响应文件请发送顺丰快递（不要使用同城快递，同城快递难以接收）。</w:t>
      </w:r>
    </w:p>
    <w:p w14:paraId="7E615DD3">
      <w:pPr>
        <w:ind w:firstLine="480" w:firstLineChars="200"/>
      </w:pPr>
      <w:r>
        <w:t>3</w:t>
      </w:r>
      <w:r>
        <w:rPr>
          <w:rFonts w:hint="eastAsia"/>
        </w:rPr>
        <w:t>.</w:t>
      </w:r>
      <w:r>
        <w:t xml:space="preserve"> </w:t>
      </w:r>
      <w:r>
        <w:rPr>
          <w:rFonts w:hint="eastAsia"/>
        </w:rPr>
        <w:t>响应文件邮寄地点：江苏省徐州市泉山区金山东路1号中国矿业大学文昌校区主楼1</w:t>
      </w:r>
      <w:r>
        <w:t>03</w:t>
      </w:r>
      <w:r>
        <w:rPr>
          <w:rFonts w:hint="eastAsia"/>
        </w:rPr>
        <w:t>室。收件人：王老师，电话：1</w:t>
      </w:r>
      <w:r>
        <w:t>5083028667</w:t>
      </w:r>
      <w:r>
        <w:rPr>
          <w:rFonts w:hint="eastAsia"/>
        </w:rPr>
        <w:t>。</w:t>
      </w:r>
    </w:p>
    <w:p w14:paraId="785959D7">
      <w:pPr>
        <w:pStyle w:val="5"/>
      </w:pPr>
      <w:r>
        <w:t>4</w:t>
      </w:r>
      <w:r>
        <w:rPr>
          <w:rFonts w:hint="eastAsia"/>
        </w:rPr>
        <w:t>. 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16D8866B">
      <w:pPr>
        <w:pStyle w:val="5"/>
      </w:pPr>
      <w:r>
        <w:t>5</w:t>
      </w:r>
      <w:r>
        <w:rPr>
          <w:rFonts w:hint="eastAsia"/>
          <w:lang w:val="en-US" w:eastAsia="zh-CN"/>
        </w:rPr>
        <w:t xml:space="preserve">. </w:t>
      </w:r>
      <w:bookmarkStart w:id="6" w:name="_GoBack"/>
      <w:bookmarkEnd w:id="6"/>
      <w:r>
        <w:rPr>
          <w:rFonts w:hint="eastAsia"/>
        </w:rPr>
        <w:t>本次询价不接受传真、电报、电话报价，在提交响应文件截止时间前，供应商需向采购人</w:t>
      </w:r>
      <w:r>
        <w:rPr>
          <w:rFonts w:hint="eastAsia"/>
          <w:spacing w:val="-7"/>
        </w:rPr>
        <w:t>提交纸质响应文件</w:t>
      </w:r>
      <w:r>
        <w:rPr>
          <w:rFonts w:hint="eastAsia"/>
          <w:b/>
          <w:bCs/>
          <w:spacing w:val="-10"/>
        </w:rPr>
        <w:t>（响应文件扫描件备用）</w:t>
      </w:r>
      <w:r>
        <w:rPr>
          <w:rFonts w:hint="eastAsia"/>
          <w:spacing w:val="-7"/>
        </w:rPr>
        <w:t>，</w:t>
      </w:r>
      <w:r>
        <w:rPr>
          <w:rFonts w:hint="eastAsia"/>
          <w:b/>
          <w:bCs/>
        </w:rPr>
        <w:t>一式叁份，正本壹份，副本贰份，</w:t>
      </w:r>
      <w:r>
        <w:rPr>
          <w:rFonts w:hint="eastAsia"/>
          <w:b/>
          <w:bCs/>
          <w:spacing w:val="-7"/>
        </w:rPr>
        <w:t>需注明正</w:t>
      </w:r>
      <w:r>
        <w:rPr>
          <w:rFonts w:hint="eastAsia"/>
          <w:b/>
          <w:bCs/>
          <w:spacing w:val="-10"/>
        </w:rPr>
        <w:t xml:space="preserve">本副本字样，正副本不一样时以正本为准。 </w:t>
      </w:r>
    </w:p>
    <w:p w14:paraId="0BA96D59">
      <w:pPr>
        <w:ind w:firstLine="480" w:firstLineChars="200"/>
      </w:pPr>
      <w:r>
        <w:rPr>
          <w:rFonts w:hint="eastAsia"/>
        </w:rPr>
        <w:t>响应文件的正本和所有副本放入密封袋中，封袋上需注明“于 2026年6月5日9:30之前不准启封”及“项目编号：XYJS-CGXJ-2026-02”的字样，并在封袋密封口处加盖供应商公章。</w:t>
      </w:r>
    </w:p>
    <w:p w14:paraId="7DD4A4D4">
      <w:pPr>
        <w:ind w:firstLine="480" w:firstLineChars="200"/>
      </w:pPr>
      <w:r>
        <w:rPr>
          <w:rFonts w:hint="eastAsia"/>
        </w:rPr>
        <w:t>采购人不接受不按要求邮寄、密封、未盖公章、份数不够的响应文件。在截止时间后送达的响应文件为无效文件，将被拒收。</w:t>
      </w:r>
    </w:p>
    <w:p w14:paraId="61C44D61">
      <w:pPr>
        <w:ind w:firstLine="480" w:firstLineChars="200"/>
      </w:pPr>
      <w:r>
        <w:t>6</w:t>
      </w:r>
      <w:r>
        <w:rPr>
          <w:rFonts w:hint="eastAsia"/>
        </w:rPr>
        <w:t>.</w:t>
      </w:r>
      <w:r>
        <w:t xml:space="preserve"> </w:t>
      </w:r>
      <w:r>
        <w:rPr>
          <w:rFonts w:hint="eastAsia"/>
        </w:rPr>
        <w:t>响应文件正、副本均不退还供应商。</w:t>
      </w:r>
    </w:p>
    <w:p w14:paraId="5F5C04A3">
      <w:pPr>
        <w:ind w:firstLine="482" w:firstLineChars="200"/>
        <w:rPr>
          <w:b/>
          <w:bCs/>
        </w:rPr>
      </w:pPr>
      <w:r>
        <w:rPr>
          <w:rFonts w:hint="eastAsia"/>
          <w:b/>
          <w:bCs/>
        </w:rPr>
        <w:t>四、项目要求</w:t>
      </w:r>
    </w:p>
    <w:p w14:paraId="4324D5D3">
      <w:pPr>
        <w:ind w:firstLine="480" w:firstLineChars="200"/>
      </w:pPr>
      <w:r>
        <w:rPr>
          <w:rFonts w:hint="eastAsia"/>
        </w:rPr>
        <w:t>1. 基坑监测要求：</w:t>
      </w:r>
    </w:p>
    <w:p w14:paraId="311338FA">
      <w:pPr>
        <w:ind w:firstLine="480" w:firstLineChars="200"/>
      </w:pPr>
      <w:r>
        <w:rPr>
          <w:rFonts w:hint="eastAsia"/>
        </w:rPr>
        <w:t>（1）监测项目、监测频率与项目控制值、相关说明详见本项目所附监测图纸。所附监测图纸中监测点位置为基坑设计计算位移最大值位置，为监测单位提供参考，并非最终监测布点设计，监测单位以此为原则进行监测方案编制，监测方案参考国家和行业相关文件。</w:t>
      </w:r>
    </w:p>
    <w:p w14:paraId="2A6B6EDD">
      <w:pPr>
        <w:ind w:firstLine="480" w:firstLineChars="200"/>
      </w:pPr>
      <w:r>
        <w:rPr>
          <w:rFonts w:hint="eastAsia"/>
        </w:rPr>
        <w:t>（2）基坑监测时间为基坑土方开挖时至基坑周边土方回填完毕，预计工期60天。</w:t>
      </w:r>
    </w:p>
    <w:p w14:paraId="66446C9D">
      <w:pPr>
        <w:ind w:firstLine="480" w:firstLineChars="200"/>
      </w:pPr>
      <w:r>
        <w:rPr>
          <w:rFonts w:hint="eastAsia"/>
        </w:rPr>
        <w:t>（3）所有测试点、测试设备需在整个基坑支护施工过程中加强保护、以防损坏。</w:t>
      </w:r>
    </w:p>
    <w:p w14:paraId="0649E94B">
      <w:pPr>
        <w:ind w:firstLine="480" w:firstLineChars="200"/>
      </w:pPr>
      <w:r>
        <w:rPr>
          <w:rFonts w:hint="eastAsia"/>
        </w:rPr>
        <w:t>2. 沉降观测要求：</w:t>
      </w:r>
    </w:p>
    <w:p w14:paraId="1037E012">
      <w:pPr>
        <w:ind w:firstLine="480" w:firstLineChars="200"/>
      </w:pPr>
      <w:r>
        <w:rPr>
          <w:rFonts w:hint="eastAsia"/>
        </w:rPr>
        <w:t>（1）沉降观测时间的要求</w:t>
      </w:r>
    </w:p>
    <w:p w14:paraId="39B31159">
      <w:pPr>
        <w:ind w:firstLine="480" w:firstLineChars="200"/>
      </w:pPr>
      <w:r>
        <w:rPr>
          <w:rFonts w:hint="eastAsia"/>
        </w:rPr>
        <w:t>建（构）筑物的沉降观测对时间有严格的限制条件，特别是首次观测必须按时进行，其他各阶段的复测，根据工程进展情况必须定时进行，不得漏测或补测。沉降观测按一定的时间段为一观测周期（如：30天/次）或按建筑物的加荷情况每升高一层（或数层）为一观测周期，无论采取何种方式都必须按施测方案中规定的观测周期准时进行。</w:t>
      </w:r>
    </w:p>
    <w:p w14:paraId="0F923CD4">
      <w:pPr>
        <w:ind w:firstLine="480" w:firstLineChars="200"/>
      </w:pPr>
      <w:r>
        <w:rPr>
          <w:rFonts w:hint="eastAsia"/>
        </w:rPr>
        <w:t>（2）观测点的要求</w:t>
      </w:r>
    </w:p>
    <w:p w14:paraId="2C692AFF">
      <w:pPr>
        <w:ind w:firstLine="480" w:firstLineChars="200"/>
      </w:pPr>
      <w:r>
        <w:rPr>
          <w:rFonts w:hint="eastAsia"/>
        </w:rPr>
        <w:t>为了能够反映岀建（构）筑物的准确沉降情况，沉降观测点要埋设在最能反映沉降特征且便于观测的位置。一般要求建筑物上设置的沉降观测点纵横向要对称,且相邻点之间间距以15-30米为宜，均匀地分布在建筑物的周围。</w:t>
      </w:r>
    </w:p>
    <w:p w14:paraId="01B283B1">
      <w:pPr>
        <w:ind w:left="480" w:leftChars="200"/>
      </w:pPr>
      <w:r>
        <w:rPr>
          <w:rFonts w:hint="eastAsia"/>
        </w:rPr>
        <w:t>3. 服务内容：</w:t>
      </w:r>
    </w:p>
    <w:p w14:paraId="38F0BD46">
      <w:pPr>
        <w:ind w:firstLine="480" w:firstLineChars="200"/>
      </w:pPr>
      <w:r>
        <w:rPr>
          <w:rFonts w:hint="eastAsia"/>
        </w:rPr>
        <w:t>（1）基坑监测需根据设计院的基坑监测方案编制监测实际方案</w:t>
      </w:r>
      <w:r>
        <w:rPr>
          <w:rFonts w:hint="eastAsia"/>
          <w:lang w:eastAsia="zh-CN"/>
        </w:rPr>
        <w:t>；</w:t>
      </w:r>
      <w:r>
        <w:rPr>
          <w:rFonts w:hint="eastAsia"/>
        </w:rPr>
        <w:t>房屋沉降</w:t>
      </w:r>
      <w:r>
        <w:rPr>
          <w:rFonts w:hint="eastAsia"/>
          <w:lang w:val="en-US" w:eastAsia="zh-CN"/>
        </w:rPr>
        <w:t>需提供实际方案，</w:t>
      </w:r>
      <w:r>
        <w:rPr>
          <w:rFonts w:hint="eastAsia"/>
        </w:rPr>
        <w:t>观测时间必须按相关文件要求提供全过程服务，并至出具完整观测报告为止。</w:t>
      </w:r>
    </w:p>
    <w:p w14:paraId="4ED408B3">
      <w:pPr>
        <w:ind w:firstLine="480" w:firstLineChars="200"/>
      </w:pPr>
      <w:r>
        <w:rPr>
          <w:rFonts w:hint="eastAsia"/>
        </w:rPr>
        <w:t>（2）结合图纸（详附件），根据国家和行业相关文件规定，布置观测点，具体监测方案，供应商依据采购人提供的询价资料和现场实地勘察情况，根据自身经验，在确保安全和满足相关要求的前提下，编制出最经济合理监测方案。</w:t>
      </w:r>
    </w:p>
    <w:p w14:paraId="7BC1271B">
      <w:pPr>
        <w:ind w:firstLine="480" w:firstLineChars="200"/>
      </w:pPr>
      <w:r>
        <w:rPr>
          <w:rFonts w:hint="eastAsia"/>
        </w:rPr>
        <w:t>4. 质量要求：检测达到国家相关规定要求及采购人要求，涉及费用计入项目报价，今后不作调整。</w:t>
      </w:r>
    </w:p>
    <w:p w14:paraId="0CB5EFC7">
      <w:pPr>
        <w:ind w:firstLine="480" w:firstLineChars="200"/>
        <w:rPr>
          <w:rFonts w:hint="eastAsia"/>
        </w:rPr>
      </w:pPr>
      <w:r>
        <w:rPr>
          <w:rFonts w:hint="eastAsia"/>
        </w:rPr>
        <w:t>5. 计划工期：建筑施工阶段和建筑使用阶段，符合《建筑变形测量规范》JGJ 8-2016和基坑支护设计要求。</w:t>
      </w:r>
    </w:p>
    <w:p w14:paraId="37656208">
      <w:pPr>
        <w:ind w:firstLine="482" w:firstLineChars="200"/>
        <w:rPr>
          <w:b/>
          <w:bCs/>
        </w:rPr>
      </w:pPr>
      <w:r>
        <w:rPr>
          <w:rFonts w:hint="eastAsia"/>
          <w:b/>
          <w:bCs/>
        </w:rPr>
        <w:t>五、报价要求</w:t>
      </w:r>
      <w:r>
        <w:rPr>
          <w:rFonts w:hint="eastAsia"/>
          <w:b/>
          <w:bCs/>
        </w:rPr>
        <w:tab/>
      </w:r>
    </w:p>
    <w:p w14:paraId="456AC5DB">
      <w:pPr>
        <w:pStyle w:val="7"/>
        <w:ind w:firstLine="480" w:firstLineChars="200"/>
      </w:pPr>
      <w:r>
        <w:rPr>
          <w:rFonts w:hint="eastAsia"/>
        </w:rPr>
        <w:t>1.</w:t>
      </w:r>
      <w:r>
        <w:t xml:space="preserve"> </w:t>
      </w:r>
      <w:r>
        <w:rPr>
          <w:rFonts w:hint="eastAsia"/>
        </w:rPr>
        <w:t>本项目最高限价为</w:t>
      </w:r>
      <w:r>
        <w:rPr>
          <w:rFonts w:hint="eastAsia"/>
          <w:highlight w:val="none"/>
        </w:rPr>
        <w:t>5万元</w:t>
      </w:r>
      <w:r>
        <w:rPr>
          <w:rFonts w:hint="eastAsia"/>
        </w:rPr>
        <w:t>，供应商报价超过最高限价的，按无效响应处理。</w:t>
      </w:r>
    </w:p>
    <w:p w14:paraId="6521142F">
      <w:pPr>
        <w:pStyle w:val="7"/>
        <w:ind w:firstLine="480" w:firstLineChars="200"/>
      </w:pPr>
      <w:r>
        <w:rPr>
          <w:rFonts w:hint="eastAsia"/>
        </w:rPr>
        <w:t>2.</w:t>
      </w:r>
      <w:r>
        <w:t xml:space="preserve"> </w:t>
      </w:r>
      <w:r>
        <w:rPr>
          <w:rFonts w:hint="eastAsia"/>
        </w:rPr>
        <w:t>供应商所报价款为完成本次采购范围内全部内容的所有费用。</w:t>
      </w:r>
    </w:p>
    <w:p w14:paraId="10621F54">
      <w:pPr>
        <w:pStyle w:val="7"/>
        <w:ind w:firstLine="480" w:firstLineChars="200"/>
      </w:pPr>
      <w:r>
        <w:rPr>
          <w:rFonts w:hint="eastAsia"/>
        </w:rPr>
        <w:t>3.</w:t>
      </w:r>
      <w:r>
        <w:t xml:space="preserve"> </w:t>
      </w:r>
      <w:r>
        <w:rPr>
          <w:rFonts w:hint="eastAsia"/>
        </w:rPr>
        <w:t>询价报价按附件2格式。</w:t>
      </w:r>
    </w:p>
    <w:p w14:paraId="43AA5675">
      <w:pPr>
        <w:ind w:firstLine="482" w:firstLineChars="200"/>
        <w:rPr>
          <w:b/>
          <w:bCs/>
        </w:rPr>
      </w:pPr>
      <w:r>
        <w:rPr>
          <w:rFonts w:hint="eastAsia"/>
          <w:b/>
          <w:bCs/>
        </w:rPr>
        <w:t>六、评定成交</w:t>
      </w:r>
    </w:p>
    <w:p w14:paraId="2E13D7B4">
      <w:pPr>
        <w:pStyle w:val="7"/>
        <w:ind w:firstLine="480" w:firstLineChars="200"/>
      </w:pPr>
      <w:r>
        <w:t>1. 询价小组</w:t>
      </w:r>
    </w:p>
    <w:p w14:paraId="4A46E84F">
      <w:pPr>
        <w:pStyle w:val="7"/>
        <w:ind w:firstLine="480" w:firstLineChars="200"/>
      </w:pPr>
      <w:r>
        <w:t>1）由中国矿业大学徐海学院组建的询价小组评审。其成员由有关方面专家及采购人代表等三人以上单数组成。</w:t>
      </w:r>
    </w:p>
    <w:p w14:paraId="1D4B0953">
      <w:pPr>
        <w:pStyle w:val="7"/>
        <w:ind w:firstLine="480" w:firstLineChars="200"/>
      </w:pPr>
      <w:r>
        <w:t>2）询价小组负责具体询价评审事务，并独立履行下列职责：</w:t>
      </w:r>
    </w:p>
    <w:p w14:paraId="62B17AD5">
      <w:pPr>
        <w:pStyle w:val="7"/>
        <w:ind w:firstLine="480" w:firstLineChars="200"/>
      </w:pPr>
      <w:r>
        <w:rPr>
          <w:rFonts w:hint="eastAsia"/>
        </w:rPr>
        <w:t>（</w:t>
      </w:r>
      <w:r>
        <w:t>1）对供应商进行资格性审查，确定供应商是否具备询价资格；</w:t>
      </w:r>
    </w:p>
    <w:p w14:paraId="4DC23ABC">
      <w:pPr>
        <w:pStyle w:val="7"/>
        <w:ind w:firstLine="480" w:firstLineChars="200"/>
      </w:pPr>
      <w:r>
        <w:rPr>
          <w:rFonts w:hint="eastAsia"/>
        </w:rPr>
        <w:t>（</w:t>
      </w:r>
      <w:r>
        <w:t>2）审查、评价响应文件是否符合询价文件的商务、技术等实质性要求；</w:t>
      </w:r>
    </w:p>
    <w:p w14:paraId="2F5413B7">
      <w:pPr>
        <w:pStyle w:val="7"/>
        <w:ind w:firstLine="480" w:firstLineChars="200"/>
      </w:pPr>
      <w:r>
        <w:rPr>
          <w:rFonts w:hint="eastAsia"/>
        </w:rPr>
        <w:t>（</w:t>
      </w:r>
      <w:r>
        <w:t>3）要求供应商对响应文件有关事项作出澄清或者说明；</w:t>
      </w:r>
    </w:p>
    <w:p w14:paraId="47853004">
      <w:pPr>
        <w:pStyle w:val="7"/>
        <w:ind w:firstLine="480" w:firstLineChars="200"/>
      </w:pPr>
      <w:r>
        <w:rPr>
          <w:rFonts w:hint="eastAsia"/>
        </w:rPr>
        <w:t>（</w:t>
      </w:r>
      <w:r>
        <w:t>4）按照评审方法及标准确定成交供应商；</w:t>
      </w:r>
    </w:p>
    <w:p w14:paraId="5B8FEFCE">
      <w:pPr>
        <w:pStyle w:val="7"/>
        <w:ind w:firstLine="480" w:firstLineChars="200"/>
      </w:pPr>
      <w:r>
        <w:rPr>
          <w:rFonts w:hint="eastAsia"/>
        </w:rPr>
        <w:t>（</w:t>
      </w:r>
      <w:r>
        <w:t>5）向采购人报告询价评审中发现的违法行为。</w:t>
      </w:r>
    </w:p>
    <w:p w14:paraId="3BEF9052">
      <w:pPr>
        <w:pStyle w:val="7"/>
        <w:ind w:firstLine="480" w:firstLineChars="200"/>
      </w:pPr>
      <w:r>
        <w:t>2. 评审方法及标准</w:t>
      </w:r>
    </w:p>
    <w:p w14:paraId="0B2895EE">
      <w:pPr>
        <w:pStyle w:val="7"/>
        <w:ind w:firstLine="480" w:firstLineChars="200"/>
        <w:rPr>
          <w:rFonts w:hAnsi="宋体"/>
        </w:rPr>
      </w:pPr>
      <w:r>
        <w:rPr>
          <w:rFonts w:hint="eastAsia"/>
        </w:rPr>
        <w:t>1）</w:t>
      </w:r>
      <w:r>
        <w:rPr>
          <w:rFonts w:hint="eastAsia" w:hAnsi="宋体"/>
        </w:rPr>
        <w:t>本次项目评审采取最低价成交，即符合采购项目要求、质量和服务相等且报价最低的原则确定成交供应商。</w:t>
      </w:r>
    </w:p>
    <w:p w14:paraId="2F0C8AA0">
      <w:pPr>
        <w:pStyle w:val="7"/>
        <w:ind w:firstLine="480" w:firstLineChars="200"/>
      </w:pPr>
      <w:r>
        <w:t>2）询价小组将按照询价文件中规定的评审方法和标准进行独立评审。对询价文件中描述有歧义或前后不一致的地方，询价小组有权按法律法规规定进行评判，但对同一条款的评判应适用于每个供应商。</w:t>
      </w:r>
    </w:p>
    <w:p w14:paraId="0F2EFAB0">
      <w:pPr>
        <w:pStyle w:val="7"/>
        <w:ind w:firstLine="480" w:firstLineChars="200"/>
      </w:pPr>
      <w:r>
        <w:t>3）询价小组决定响应文件的响应情况只根据响应文件本身真实无误的内容，而不依据其他外部的证据，但响应文件有不真实不正确的内容或询价文件另有要求时除外。</w:t>
      </w:r>
    </w:p>
    <w:p w14:paraId="1853EE42">
      <w:pPr>
        <w:pStyle w:val="7"/>
        <w:ind w:firstLine="480" w:firstLineChars="200"/>
      </w:pPr>
      <w:r>
        <w:t>3. 评审步骤</w:t>
      </w:r>
    </w:p>
    <w:p w14:paraId="66E815EB">
      <w:pPr>
        <w:pStyle w:val="7"/>
        <w:ind w:firstLine="480" w:firstLineChars="200"/>
      </w:pPr>
      <w:r>
        <w:t>1）资格性和符合性审查</w:t>
      </w:r>
    </w:p>
    <w:p w14:paraId="709DBE32">
      <w:pPr>
        <w:pStyle w:val="7"/>
        <w:ind w:firstLine="480" w:firstLineChars="200"/>
      </w:pPr>
      <w:r>
        <w:rPr>
          <w:rFonts w:hint="eastAsia"/>
        </w:rPr>
        <w:t>（</w:t>
      </w:r>
      <w:r>
        <w:t>1）询价小组按照资格性和符合性审查要求对供应商响应文件进行资格性和符合性审查，以确定其是否满足询价文件的实质性要求。</w:t>
      </w:r>
    </w:p>
    <w:p w14:paraId="6E967E98">
      <w:pPr>
        <w:pStyle w:val="7"/>
        <w:ind w:firstLine="480" w:firstLineChars="200"/>
      </w:pPr>
      <w:r>
        <w:rPr>
          <w:rFonts w:hint="eastAsia"/>
        </w:rPr>
        <w:t>（</w:t>
      </w:r>
      <w:r>
        <w:t>2）资格性和符合性审查内容详见《资格性和符合性审查表》（附件</w:t>
      </w:r>
      <w:r>
        <w:rPr>
          <w:rFonts w:hint="eastAsia"/>
        </w:rPr>
        <w:t>3</w:t>
      </w:r>
      <w:r>
        <w:t>）</w:t>
      </w:r>
      <w:r>
        <w:rPr>
          <w:rFonts w:hint="eastAsia"/>
        </w:rPr>
        <w:t>。</w:t>
      </w:r>
    </w:p>
    <w:p w14:paraId="1E8385EE">
      <w:pPr>
        <w:pStyle w:val="7"/>
        <w:ind w:firstLine="480" w:firstLineChars="200"/>
      </w:pPr>
      <w:r>
        <w:rPr>
          <w:rFonts w:hint="eastAsia"/>
        </w:rPr>
        <w:t>（</w:t>
      </w:r>
      <w:r>
        <w:t>3）询价小组对各供应商进行资格性和符合性审查过程中，对被认定为资格性或符合性不合格或无效响应的，询价小组应当告知提交响应文件的供应商。</w:t>
      </w:r>
    </w:p>
    <w:p w14:paraId="36B5C6EA">
      <w:pPr>
        <w:pStyle w:val="7"/>
        <w:ind w:firstLine="480" w:firstLineChars="200"/>
      </w:pPr>
      <w:r>
        <w:rPr>
          <w:rFonts w:hint="eastAsia"/>
        </w:rPr>
        <w:t>（</w:t>
      </w:r>
      <w:r>
        <w:t>4）资格性和符合性审查合格的有效供应商才能进入询价评审阶段。</w:t>
      </w:r>
    </w:p>
    <w:p w14:paraId="769CD579">
      <w:pPr>
        <w:pStyle w:val="7"/>
        <w:ind w:firstLine="480" w:firstLineChars="200"/>
      </w:pPr>
      <w:r>
        <w:t>2）详细评审</w:t>
      </w:r>
    </w:p>
    <w:p w14:paraId="79B67452">
      <w:pPr>
        <w:pStyle w:val="7"/>
        <w:ind w:firstLine="480" w:firstLineChars="200"/>
        <w:rPr>
          <w:rFonts w:hAnsi="宋体"/>
        </w:rPr>
      </w:pPr>
      <w:r>
        <w:rPr>
          <w:rFonts w:hint="eastAsia" w:hAnsi="宋体"/>
        </w:rPr>
        <w:t>询价小组按照询价文件相关要求，对供应商的响应文件相关条件是否符合采购需求、质量、和服务情况进行评审。</w:t>
      </w:r>
    </w:p>
    <w:p w14:paraId="6799673F">
      <w:pPr>
        <w:pStyle w:val="7"/>
        <w:ind w:firstLine="480" w:firstLineChars="200"/>
        <w:rPr>
          <w:rFonts w:hAnsi="宋体"/>
        </w:rPr>
      </w:pPr>
      <w:r>
        <w:rPr>
          <w:rFonts w:hAnsi="宋体"/>
        </w:rPr>
        <w:t>4.成交候选人的确定</w:t>
      </w:r>
    </w:p>
    <w:p w14:paraId="031AC6AA">
      <w:pPr>
        <w:pStyle w:val="7"/>
        <w:ind w:firstLine="480" w:firstLineChars="200"/>
        <w:rPr>
          <w:rFonts w:hAnsi="宋体"/>
        </w:rPr>
      </w:pPr>
      <w:r>
        <w:rPr>
          <w:rFonts w:hint="eastAsia" w:hAnsi="宋体"/>
        </w:rPr>
        <w:t>询价小组经过评审，按照符合采购需求、质量和服务相等且报价最低的原则确定成交供应商。</w:t>
      </w:r>
    </w:p>
    <w:p w14:paraId="5BE9C925">
      <w:pPr>
        <w:ind w:firstLine="482" w:firstLineChars="200"/>
        <w:rPr>
          <w:b/>
          <w:bCs/>
        </w:rPr>
      </w:pPr>
      <w:r>
        <w:rPr>
          <w:rFonts w:hint="eastAsia"/>
          <w:b/>
          <w:bCs/>
        </w:rPr>
        <w:t>七．响应文件的组成</w:t>
      </w:r>
    </w:p>
    <w:p w14:paraId="7E71D73F">
      <w:pPr>
        <w:ind w:firstLine="480" w:firstLineChars="200"/>
      </w:pPr>
      <w:r>
        <w:rPr>
          <w:rFonts w:hint="eastAsia"/>
        </w:rPr>
        <w:t>1.</w:t>
      </w:r>
      <w:r>
        <w:t xml:space="preserve"> </w:t>
      </w:r>
      <w:r>
        <w:rPr>
          <w:rFonts w:hint="eastAsia"/>
        </w:rPr>
        <w:t>承诺书（见附件1）；</w:t>
      </w:r>
    </w:p>
    <w:p w14:paraId="6B302A5B">
      <w:pPr>
        <w:ind w:firstLine="480" w:firstLineChars="200"/>
      </w:pPr>
      <w:r>
        <w:rPr>
          <w:rFonts w:hint="eastAsia"/>
        </w:rPr>
        <w:t>2.</w:t>
      </w:r>
      <w:r>
        <w:t xml:space="preserve"> </w:t>
      </w:r>
      <w:r>
        <w:rPr>
          <w:rFonts w:hint="eastAsia"/>
        </w:rPr>
        <w:t>询价报价表（格式详见附件2）；</w:t>
      </w:r>
    </w:p>
    <w:p w14:paraId="7A912203">
      <w:pPr>
        <w:pStyle w:val="7"/>
        <w:ind w:firstLine="480" w:firstLineChars="200"/>
      </w:pPr>
      <w:r>
        <w:rPr>
          <w:rFonts w:hint="eastAsia"/>
        </w:rPr>
        <w:t>3.</w:t>
      </w:r>
      <w:r>
        <w:t xml:space="preserve"> </w:t>
      </w:r>
      <w:r>
        <w:rPr>
          <w:rFonts w:hint="eastAsia"/>
        </w:rPr>
        <w:t>企业营业执照（复印件需加盖公章）；</w:t>
      </w:r>
    </w:p>
    <w:p w14:paraId="4E1906EB">
      <w:pPr>
        <w:pStyle w:val="7"/>
        <w:ind w:firstLine="480" w:firstLineChars="200"/>
      </w:pPr>
      <w:r>
        <w:rPr>
          <w:rFonts w:hint="eastAsia"/>
        </w:rPr>
        <w:t>4．法定代表人授权委托书；</w:t>
      </w:r>
    </w:p>
    <w:p w14:paraId="312B5457">
      <w:pPr>
        <w:pStyle w:val="7"/>
        <w:ind w:firstLine="480" w:firstLineChars="200"/>
      </w:pPr>
      <w:r>
        <w:rPr>
          <w:rFonts w:hint="eastAsia"/>
        </w:rPr>
        <w:t>5．法定代表人身份证明（复印件加盖公章）；</w:t>
      </w:r>
    </w:p>
    <w:p w14:paraId="2300B71B">
      <w:pPr>
        <w:pStyle w:val="7"/>
        <w:ind w:firstLine="480" w:firstLineChars="200"/>
      </w:pPr>
      <w:r>
        <w:rPr>
          <w:rFonts w:hint="eastAsia"/>
        </w:rPr>
        <w:t>6．授权委托人身份证明（复印件加盖公章）；</w:t>
      </w:r>
    </w:p>
    <w:p w14:paraId="09034D8A">
      <w:pPr>
        <w:pStyle w:val="7"/>
        <w:ind w:firstLine="480" w:firstLineChars="200"/>
        <w:rPr>
          <w:rFonts w:hAnsi="宋体"/>
        </w:rPr>
      </w:pPr>
      <w:r>
        <w:rPr>
          <w:rFonts w:hint="eastAsia" w:hAnsi="宋体"/>
        </w:rPr>
        <w:t>7. 企业资质证书；</w:t>
      </w:r>
    </w:p>
    <w:p w14:paraId="139C8EB4">
      <w:pPr>
        <w:pStyle w:val="7"/>
        <w:ind w:firstLine="480" w:firstLineChars="200"/>
        <w:rPr>
          <w:rFonts w:hAnsi="宋体"/>
        </w:rPr>
      </w:pPr>
      <w:r>
        <w:rPr>
          <w:rFonts w:hint="eastAsia" w:hAnsi="宋体"/>
        </w:rPr>
        <w:t>8. 项目负责人职称证明；</w:t>
      </w:r>
    </w:p>
    <w:p w14:paraId="31D5C7E4">
      <w:pPr>
        <w:pStyle w:val="7"/>
        <w:ind w:firstLine="480" w:firstLineChars="200"/>
        <w:rPr>
          <w:rFonts w:hint="default" w:hAnsi="宋体"/>
          <w:highlight w:val="none"/>
          <w:lang w:val="en-US"/>
        </w:rPr>
      </w:pPr>
      <w:r>
        <w:rPr>
          <w:rFonts w:hint="eastAsia" w:hAnsi="宋体"/>
          <w:highlight w:val="none"/>
        </w:rPr>
        <w:t xml:space="preserve">9. </w:t>
      </w:r>
      <w:r>
        <w:rPr>
          <w:rFonts w:hint="eastAsia" w:hAnsi="宋体"/>
          <w:highlight w:val="none"/>
          <w:lang w:val="en-US" w:eastAsia="zh-CN"/>
        </w:rPr>
        <w:t>询价报价表；</w:t>
      </w:r>
    </w:p>
    <w:p w14:paraId="16BE59B1">
      <w:pPr>
        <w:pStyle w:val="7"/>
        <w:ind w:firstLine="480" w:firstLineChars="200"/>
        <w:rPr>
          <w:rFonts w:hAnsi="宋体"/>
        </w:rPr>
      </w:pPr>
      <w:r>
        <w:rPr>
          <w:rFonts w:hint="eastAsia" w:hAnsi="宋体"/>
        </w:rPr>
        <w:t>10. 基坑检测方案和沉降观测方案；</w:t>
      </w:r>
    </w:p>
    <w:p w14:paraId="67114DF0">
      <w:pPr>
        <w:pStyle w:val="7"/>
        <w:ind w:firstLine="480" w:firstLineChars="200"/>
        <w:rPr>
          <w:rFonts w:hAnsi="宋体"/>
        </w:rPr>
      </w:pPr>
      <w:r>
        <w:rPr>
          <w:rFonts w:hint="eastAsia" w:hAnsi="宋体"/>
        </w:rPr>
        <w:t>11. 其他附件（若有）。</w:t>
      </w:r>
    </w:p>
    <w:p w14:paraId="17FD303B">
      <w:pPr>
        <w:pStyle w:val="7"/>
        <w:ind w:firstLine="480" w:firstLineChars="200"/>
      </w:pPr>
      <w:r>
        <w:rPr>
          <w:rFonts w:hint="eastAsia"/>
        </w:rPr>
        <w:t>12</w:t>
      </w:r>
      <w:r>
        <w:t>.</w:t>
      </w:r>
      <w:r>
        <w:rPr>
          <w:rFonts w:hint="eastAsia"/>
        </w:rPr>
        <w:t xml:space="preserve"> 偏离表（附件4）；</w:t>
      </w:r>
    </w:p>
    <w:p w14:paraId="27C927CF">
      <w:pPr>
        <w:pStyle w:val="7"/>
        <w:ind w:firstLine="480" w:firstLineChars="200"/>
      </w:pPr>
      <w:r>
        <w:rPr>
          <w:rFonts w:hint="eastAsia"/>
        </w:rPr>
        <w:t>13．响应文件要求提供的其他材料。</w:t>
      </w:r>
    </w:p>
    <w:p w14:paraId="1DE7CD8D">
      <w:pPr>
        <w:ind w:firstLine="482" w:firstLineChars="200"/>
        <w:rPr>
          <w:b/>
          <w:bCs/>
        </w:rPr>
      </w:pPr>
      <w:r>
        <w:rPr>
          <w:rFonts w:hint="eastAsia"/>
          <w:b/>
          <w:bCs/>
        </w:rPr>
        <w:t>八、合同主要条款</w:t>
      </w:r>
    </w:p>
    <w:p w14:paraId="1A121CD8">
      <w:pPr>
        <w:pStyle w:val="7"/>
        <w:ind w:firstLine="480" w:firstLineChars="200"/>
        <w:rPr>
          <w:rFonts w:hint="eastAsia"/>
          <w:lang w:val="en-US" w:eastAsia="zh-CN"/>
        </w:rPr>
      </w:pPr>
      <w:r>
        <w:rPr>
          <w:rFonts w:hint="eastAsia"/>
        </w:rPr>
        <w:t>1.本工程</w:t>
      </w:r>
      <w:r>
        <w:rPr>
          <w:rFonts w:hint="eastAsia"/>
          <w:lang w:val="en-US" w:eastAsia="zh-CN"/>
        </w:rPr>
        <w:t>采用</w:t>
      </w:r>
      <w:r>
        <w:rPr>
          <w:rFonts w:hint="eastAsia"/>
        </w:rPr>
        <w:t>固定总价</w:t>
      </w:r>
      <w:r>
        <w:rPr>
          <w:rFonts w:hint="eastAsia"/>
          <w:lang w:val="en-US" w:eastAsia="zh-CN"/>
        </w:rPr>
        <w:t>合同，总价包括：设备的租赁(或购置)费、设备的进退场费及使用费、材料费、人工费、机械费、检测费、交通费、利润、管理费、税金、检测所需的措施费、检测服务所需制作安装费、现场水电费、保险费、社保税金、风险费、成果资料费、场地恢复费及与各单位协调产生的费用、检测期间各类价格的风险、物价上涨因素、国家政策性调整风险费用等一切费用。</w:t>
      </w:r>
    </w:p>
    <w:p w14:paraId="1C0E3FF9">
      <w:pPr>
        <w:pStyle w:val="7"/>
        <w:ind w:firstLine="480" w:firstLineChars="200"/>
        <w:rPr>
          <w:rFonts w:hint="default"/>
          <w:highlight w:val="none"/>
          <w:lang w:val="en-US" w:eastAsia="zh-CN"/>
        </w:rPr>
      </w:pPr>
      <w:r>
        <w:rPr>
          <w:rFonts w:hint="eastAsia"/>
          <w:highlight w:val="none"/>
          <w:lang w:val="en-US" w:eastAsia="zh-CN"/>
        </w:rPr>
        <w:t>2.质量标准：检测点位和频率要满足本项目施工全过程。</w:t>
      </w:r>
    </w:p>
    <w:p w14:paraId="38C778B4">
      <w:pPr>
        <w:pStyle w:val="7"/>
        <w:ind w:firstLine="480" w:firstLineChars="200"/>
      </w:pPr>
      <w:r>
        <w:rPr>
          <w:rFonts w:hint="eastAsia"/>
          <w:lang w:val="en-US" w:eastAsia="zh-CN"/>
        </w:rPr>
        <w:t>3</w:t>
      </w:r>
      <w:r>
        <w:rPr>
          <w:rFonts w:hint="eastAsia"/>
        </w:rPr>
        <w:t>.结算方式</w:t>
      </w:r>
    </w:p>
    <w:p w14:paraId="20374CA2">
      <w:pPr>
        <w:pStyle w:val="7"/>
        <w:ind w:firstLine="480" w:firstLineChars="200"/>
      </w:pPr>
      <w:r>
        <w:rPr>
          <w:rFonts w:hint="eastAsia"/>
        </w:rPr>
        <w:t>(1)基坑监测</w:t>
      </w:r>
    </w:p>
    <w:p w14:paraId="399DFEC3">
      <w:pPr>
        <w:pStyle w:val="7"/>
        <w:ind w:firstLine="480" w:firstLineChars="200"/>
      </w:pPr>
      <w:r>
        <w:rPr>
          <w:rFonts w:hint="eastAsia"/>
        </w:rPr>
        <w:t>监测方案通过审核并进场开始监测后7日内，甲方向乙方支付基坑监测费的30%；约定监测周期工作完毕后并提交符合相关规范要求的最终监测报告后7日内，甲方应向乙方付清全部基坑监测费。</w:t>
      </w:r>
    </w:p>
    <w:p w14:paraId="4F390FB0">
      <w:pPr>
        <w:pStyle w:val="7"/>
        <w:ind w:firstLine="480" w:firstLineChars="200"/>
      </w:pPr>
      <w:r>
        <w:rPr>
          <w:rFonts w:hint="eastAsia"/>
        </w:rPr>
        <w:t>(2)沉降观测</w:t>
      </w:r>
    </w:p>
    <w:p w14:paraId="1DD81C29">
      <w:pPr>
        <w:pStyle w:val="7"/>
        <w:ind w:firstLine="480" w:firstLineChars="200"/>
      </w:pPr>
      <w:r>
        <w:rPr>
          <w:rFonts w:hint="eastAsia"/>
        </w:rPr>
        <w:t>提交主体阶段竣工观测报告后7日内，甲方向乙方支付50%沉降观测费；提交符合相关规范要求的最终竣工观测报告后7日内，甲方向乙方支付50%沉降观测费。</w:t>
      </w:r>
    </w:p>
    <w:p w14:paraId="6BAF2BCA">
      <w:pPr>
        <w:pStyle w:val="7"/>
        <w:ind w:firstLine="480" w:firstLineChars="200"/>
      </w:pPr>
      <w:r>
        <w:rPr>
          <w:rFonts w:hint="eastAsia"/>
          <w:lang w:val="en-US" w:eastAsia="zh-CN"/>
        </w:rPr>
        <w:t>4</w:t>
      </w:r>
      <w:r>
        <w:rPr>
          <w:rFonts w:hint="eastAsia"/>
        </w:rPr>
        <w:t>.安全措施及责任</w:t>
      </w:r>
    </w:p>
    <w:p w14:paraId="438AAF65">
      <w:pPr>
        <w:pStyle w:val="7"/>
        <w:ind w:firstLine="480" w:firstLineChars="200"/>
      </w:pPr>
      <w:r>
        <w:rPr>
          <w:rFonts w:hint="eastAsia"/>
        </w:rPr>
        <w:t xml:space="preserve">在现场工作时，供应商应遵守政府有关安全法律法规，并对其人员的安全负责，在作业现场， 供应商应采取必要的安全措施，并应保障甲方免于承担由此导致的一切诉讼、争执、索赔、罚款，任 何事故和责任均由供应商承担。           </w:t>
      </w:r>
      <w:r>
        <w:t xml:space="preserve">                   </w:t>
      </w:r>
    </w:p>
    <w:p w14:paraId="40958AC6">
      <w:r>
        <w:t xml:space="preserve">  </w:t>
      </w:r>
      <w:r>
        <w:rPr>
          <w:rFonts w:hint="eastAsia"/>
        </w:rPr>
        <w:t xml:space="preserve">                            </w:t>
      </w:r>
    </w:p>
    <w:p w14:paraId="0A242C32"/>
    <w:p w14:paraId="1126C3FE">
      <w:pPr>
        <w:ind w:firstLine="3360" w:firstLineChars="1400"/>
      </w:pPr>
      <w:r>
        <w:rPr>
          <w:rFonts w:hint="eastAsia"/>
        </w:rPr>
        <w:t xml:space="preserve">                     中国矿业大学徐海学院</w:t>
      </w:r>
    </w:p>
    <w:p w14:paraId="583EE258">
      <w:pPr>
        <w:ind w:firstLine="6480" w:firstLineChars="2700"/>
      </w:pPr>
      <w:r>
        <w:t>202</w:t>
      </w:r>
      <w:r>
        <w:rPr>
          <w:rFonts w:hint="eastAsia"/>
        </w:rPr>
        <w:t>6</w:t>
      </w:r>
      <w:r>
        <w:t>年</w:t>
      </w:r>
      <w:r>
        <w:rPr>
          <w:rFonts w:hint="eastAsia"/>
        </w:rPr>
        <w:t>6</w:t>
      </w:r>
      <w:r>
        <w:t>月</w:t>
      </w:r>
      <w:r>
        <w:rPr>
          <w:rFonts w:hint="eastAsia"/>
        </w:rPr>
        <w:t>1</w:t>
      </w:r>
      <w:r>
        <w:t>日</w:t>
      </w:r>
    </w:p>
    <w:p w14:paraId="39C39AB9"/>
    <w:p w14:paraId="10998568"/>
    <w:p w14:paraId="797B46C5">
      <w:pPr>
        <w:rPr>
          <w:rFonts w:hint="eastAsia"/>
        </w:rPr>
      </w:pPr>
    </w:p>
    <w:p w14:paraId="3A933ADC">
      <w:pPr>
        <w:rPr>
          <w:rFonts w:hint="eastAsia"/>
        </w:rPr>
      </w:pPr>
    </w:p>
    <w:p w14:paraId="373D43F2">
      <w:pPr>
        <w:rPr>
          <w:rFonts w:hint="eastAsia"/>
        </w:rPr>
      </w:pPr>
    </w:p>
    <w:p w14:paraId="5231E9CB">
      <w:r>
        <w:rPr>
          <w:rFonts w:hint="eastAsia"/>
        </w:rPr>
        <w:t xml:space="preserve">附件1 </w:t>
      </w:r>
      <w:r>
        <w:rPr>
          <w:rFonts w:hint="eastAsia"/>
          <w:szCs w:val="28"/>
        </w:rPr>
        <w:t xml:space="preserve"> </w:t>
      </w:r>
      <w:r>
        <w:rPr>
          <w:rFonts w:hint="eastAsia"/>
        </w:rPr>
        <w:t xml:space="preserve">                   </w:t>
      </w:r>
    </w:p>
    <w:p w14:paraId="3FA8BCF5">
      <w:pPr>
        <w:jc w:val="center"/>
        <w:rPr>
          <w:b/>
          <w:bCs/>
          <w:sz w:val="32"/>
          <w:szCs w:val="32"/>
        </w:rPr>
      </w:pPr>
      <w:r>
        <w:rPr>
          <w:rFonts w:hint="eastAsia" w:cs="宋体"/>
          <w:b/>
          <w:bCs/>
          <w:sz w:val="32"/>
          <w:szCs w:val="32"/>
        </w:rPr>
        <w:t>承诺书</w:t>
      </w:r>
    </w:p>
    <w:p w14:paraId="5A88DCA7"/>
    <w:p w14:paraId="574D6B81">
      <w:pPr>
        <w:jc w:val="left"/>
      </w:pPr>
      <w:r>
        <w:rPr>
          <w:rFonts w:hint="eastAsia"/>
        </w:rPr>
        <w:t>中国矿业大学徐海学院：</w:t>
      </w:r>
    </w:p>
    <w:p w14:paraId="48016327">
      <w:pPr>
        <w:ind w:firstLine="480" w:firstLineChars="200"/>
      </w:pPr>
      <w:r>
        <w:rPr>
          <w:rFonts w:hint="eastAsia"/>
        </w:rPr>
        <w:t>我方确认收到贵院提供的中国矿业大学徐海学院校园基础设施建设项目（22#、23#、24#宿舍楼）基坑监测和沉降观测工程的询价文件，并已完全了解文件中所有条款及要求：经研究决定参加询价。现正式授权下述签字人</w:t>
      </w:r>
      <w:r>
        <w:rPr>
          <w:rFonts w:hint="eastAsia"/>
          <w:u w:val="single"/>
        </w:rPr>
        <w:t xml:space="preserve">         </w:t>
      </w:r>
      <w:r>
        <w:rPr>
          <w:rFonts w:hint="eastAsia"/>
        </w:rPr>
        <w:t>（姓名和职务）代表我方</w:t>
      </w:r>
      <w:r>
        <w:rPr>
          <w:rFonts w:hint="eastAsia"/>
          <w:u w:val="single"/>
        </w:rPr>
        <w:t xml:space="preserve">                   </w:t>
      </w:r>
      <w:r>
        <w:rPr>
          <w:rFonts w:hint="eastAsia"/>
        </w:rPr>
        <w:t>（询价单位名称）全权处理本次项目询价的有关事宜。据此承诺书，我方在此提交响应文件的同时做出如下承诺：</w:t>
      </w:r>
    </w:p>
    <w:p w14:paraId="0E56B4EF">
      <w:pPr>
        <w:ind w:firstLine="480" w:firstLineChars="200"/>
      </w:pPr>
      <w:r>
        <w:rPr>
          <w:rFonts w:hint="eastAsia"/>
        </w:rPr>
        <w:t>1.我方按询价文件规定提供的中国矿业大学徐海学院校园基础设施建设项目（22#、23#、24#宿舍楼）基坑监测和沉降观测工程报价为大写：</w:t>
      </w:r>
      <w:r>
        <w:rPr>
          <w:rFonts w:hint="eastAsia"/>
          <w:u w:val="single"/>
        </w:rPr>
        <w:t xml:space="preserve">               </w:t>
      </w:r>
      <w:r>
        <w:rPr>
          <w:rFonts w:hint="eastAsia"/>
        </w:rPr>
        <w:t>，小写：</w:t>
      </w:r>
      <w:r>
        <w:rPr>
          <w:rFonts w:hint="eastAsia"/>
          <w:u w:val="single"/>
        </w:rPr>
        <w:t xml:space="preserve">￥                </w:t>
      </w:r>
      <w:r>
        <w:rPr>
          <w:rFonts w:hint="eastAsia"/>
        </w:rPr>
        <w:t>。详见《询价报价表》附件2。</w:t>
      </w:r>
    </w:p>
    <w:p w14:paraId="7B93F1DF">
      <w:pPr>
        <w:ind w:firstLine="480" w:firstLineChars="200"/>
      </w:pPr>
      <w:r>
        <w:rPr>
          <w:rFonts w:hint="eastAsia"/>
        </w:rPr>
        <w:t>2.愿意接受询价文件的所有条款和条件，并按其要求提供基坑监测和沉降观测；完全理解并同意放弃对这方面有不明及误解的权利。</w:t>
      </w:r>
    </w:p>
    <w:p w14:paraId="36B953CC">
      <w:pPr>
        <w:ind w:firstLine="480" w:firstLineChars="200"/>
      </w:pPr>
      <w:r>
        <w:rPr>
          <w:rFonts w:hint="eastAsia"/>
        </w:rPr>
        <w:t>3.同意按询价文件的要求提供所有资料、数据或信息。若贵方要求我方另外提供与询价有关的任何证据或资料，我方将按要求予以提供并保证其为真实的、准确的。</w:t>
      </w:r>
    </w:p>
    <w:p w14:paraId="5B78ADFA">
      <w:pPr>
        <w:ind w:firstLine="480" w:firstLineChars="200"/>
      </w:pPr>
      <w:r>
        <w:rPr>
          <w:rFonts w:hint="eastAsia"/>
        </w:rPr>
        <w:t>4.同意贵方有权决定成交者，并完全理解不一定要接受最低报价或收到的任何报价。</w:t>
      </w:r>
    </w:p>
    <w:p w14:paraId="6465FC54">
      <w:pPr>
        <w:ind w:firstLine="480" w:firstLineChars="200"/>
      </w:pPr>
      <w:r>
        <w:rPr>
          <w:rFonts w:hint="eastAsia"/>
        </w:rPr>
        <w:t>5.我方如为成交供应商，将保证履行询价文件（含补充通知）中的全部责任和义务；贵方的询价文件、成交通知书和我方的响应文件将作为协议的有效组成部分。</w:t>
      </w:r>
    </w:p>
    <w:p w14:paraId="52A22BC9">
      <w:pPr>
        <w:ind w:firstLine="480" w:firstLineChars="200"/>
      </w:pPr>
      <w:r>
        <w:rPr>
          <w:rFonts w:hint="eastAsia"/>
        </w:rPr>
        <w:t>6.本询价文件的有效期为规定提交响应文件截止之日后7天，如成交，有效期将延至协议有效期终止日为止。</w:t>
      </w:r>
    </w:p>
    <w:p w14:paraId="7BC92960"/>
    <w:p w14:paraId="5757BCBF"/>
    <w:p w14:paraId="45113A50">
      <w:pPr>
        <w:ind w:firstLine="5520" w:firstLineChars="2300"/>
      </w:pPr>
      <w:r>
        <w:rPr>
          <w:rFonts w:hint="eastAsia"/>
        </w:rPr>
        <w:t xml:space="preserve">供应商名称（盖章）                                 </w:t>
      </w:r>
    </w:p>
    <w:p w14:paraId="25C2E5BF">
      <w:pPr>
        <w:ind w:firstLine="5520" w:firstLineChars="2300"/>
      </w:pPr>
      <w:r>
        <w:rPr>
          <w:rFonts w:hint="eastAsia"/>
        </w:rPr>
        <w:t xml:space="preserve">供应商法定代表人或授权代表人（签章）               </w:t>
      </w:r>
    </w:p>
    <w:p w14:paraId="3FFD1E46">
      <w:pPr>
        <w:ind w:firstLine="6000" w:firstLineChars="2500"/>
      </w:pPr>
      <w:r>
        <w:rPr>
          <w:rFonts w:hint="eastAsia"/>
        </w:rPr>
        <w:t>日期：  年   月   日</w:t>
      </w:r>
    </w:p>
    <w:p w14:paraId="4C1CDA6C"/>
    <w:p w14:paraId="7C0EFC9A"/>
    <w:p w14:paraId="4D886877"/>
    <w:p w14:paraId="75529158"/>
    <w:p w14:paraId="27112E51">
      <w:r>
        <w:rPr>
          <w:rFonts w:hint="eastAsia"/>
        </w:rPr>
        <w:t xml:space="preserve">附件2              </w:t>
      </w:r>
      <w:r>
        <w:rPr>
          <w:b/>
          <w:bCs/>
          <w:sz w:val="32"/>
          <w:szCs w:val="32"/>
        </w:rPr>
        <w:t xml:space="preserve"> </w:t>
      </w:r>
    </w:p>
    <w:p w14:paraId="345F8757">
      <w:pPr>
        <w:jc w:val="center"/>
        <w:rPr>
          <w:b/>
          <w:bCs/>
          <w:sz w:val="32"/>
          <w:szCs w:val="32"/>
        </w:rPr>
      </w:pPr>
      <w:r>
        <w:rPr>
          <w:rFonts w:hint="eastAsia"/>
          <w:b/>
          <w:bCs/>
          <w:sz w:val="32"/>
          <w:szCs w:val="32"/>
        </w:rPr>
        <w:t>询价报价表</w:t>
      </w:r>
    </w:p>
    <w:p w14:paraId="393E68B4">
      <w:pPr>
        <w:jc w:val="center"/>
        <w:rPr>
          <w:b/>
          <w:bCs/>
          <w:sz w:val="32"/>
          <w:szCs w:val="32"/>
        </w:rPr>
      </w:pPr>
    </w:p>
    <w:tbl>
      <w:tblPr>
        <w:tblStyle w:val="13"/>
        <w:tblW w:w="49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1075"/>
        <w:gridCol w:w="1541"/>
        <w:gridCol w:w="2720"/>
        <w:gridCol w:w="2000"/>
      </w:tblGrid>
      <w:tr w14:paraId="01E82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85" w:type="pct"/>
            <w:tcBorders>
              <w:top w:val="single" w:color="auto" w:sz="4" w:space="0"/>
              <w:left w:val="single" w:color="auto" w:sz="4" w:space="0"/>
              <w:bottom w:val="single" w:color="auto" w:sz="4" w:space="0"/>
              <w:right w:val="single" w:color="auto" w:sz="4" w:space="0"/>
            </w:tcBorders>
            <w:vAlign w:val="center"/>
          </w:tcPr>
          <w:p w14:paraId="4FD7E7ED">
            <w:pPr>
              <w:jc w:val="center"/>
              <w:rPr>
                <w:rFonts w:cs="Times New Roman"/>
                <w:b/>
              </w:rPr>
            </w:pPr>
            <w:r>
              <w:rPr>
                <w:rFonts w:hint="eastAsia" w:cs="Times New Roman"/>
                <w:b/>
              </w:rPr>
              <w:t>检测内容</w:t>
            </w:r>
          </w:p>
        </w:tc>
        <w:tc>
          <w:tcPr>
            <w:tcW w:w="559" w:type="pct"/>
            <w:tcBorders>
              <w:top w:val="single" w:color="auto" w:sz="4" w:space="0"/>
              <w:left w:val="single" w:color="auto" w:sz="4" w:space="0"/>
              <w:bottom w:val="single" w:color="auto" w:sz="4" w:space="0"/>
              <w:right w:val="single" w:color="auto" w:sz="4" w:space="0"/>
            </w:tcBorders>
            <w:vAlign w:val="center"/>
          </w:tcPr>
          <w:p w14:paraId="28E94857">
            <w:pPr>
              <w:jc w:val="center"/>
              <w:rPr>
                <w:rFonts w:cs="Times New Roman"/>
                <w:b/>
              </w:rPr>
            </w:pPr>
            <w:r>
              <w:rPr>
                <w:rFonts w:hint="eastAsia" w:cs="Times New Roman"/>
                <w:b/>
              </w:rPr>
              <w:t>数量</w:t>
            </w:r>
          </w:p>
        </w:tc>
        <w:tc>
          <w:tcPr>
            <w:tcW w:w="801" w:type="pct"/>
            <w:tcBorders>
              <w:top w:val="single" w:color="auto" w:sz="4" w:space="0"/>
              <w:left w:val="single" w:color="auto" w:sz="4" w:space="0"/>
              <w:bottom w:val="single" w:color="auto" w:sz="4" w:space="0"/>
              <w:right w:val="single" w:color="auto" w:sz="4" w:space="0"/>
            </w:tcBorders>
            <w:vAlign w:val="center"/>
          </w:tcPr>
          <w:p w14:paraId="1888F1E6">
            <w:pPr>
              <w:jc w:val="center"/>
              <w:rPr>
                <w:rFonts w:cs="Times New Roman"/>
                <w:b/>
              </w:rPr>
            </w:pPr>
            <w:r>
              <w:rPr>
                <w:rFonts w:hint="eastAsia" w:cs="Times New Roman"/>
                <w:b/>
              </w:rPr>
              <w:t>单位</w:t>
            </w:r>
          </w:p>
        </w:tc>
        <w:tc>
          <w:tcPr>
            <w:tcW w:w="1414" w:type="pct"/>
            <w:tcBorders>
              <w:top w:val="single" w:color="auto" w:sz="4" w:space="0"/>
              <w:left w:val="single" w:color="auto" w:sz="4" w:space="0"/>
              <w:bottom w:val="single" w:color="auto" w:sz="4" w:space="0"/>
              <w:right w:val="single" w:color="auto" w:sz="4" w:space="0"/>
            </w:tcBorders>
            <w:vAlign w:val="center"/>
          </w:tcPr>
          <w:p w14:paraId="441AAFAF">
            <w:pPr>
              <w:ind w:right="-204" w:rightChars="-85"/>
              <w:jc w:val="center"/>
              <w:rPr>
                <w:rFonts w:cs="Times New Roman"/>
                <w:b/>
              </w:rPr>
            </w:pPr>
            <w:r>
              <w:rPr>
                <w:rFonts w:hint="eastAsia" w:cs="Times New Roman"/>
                <w:b/>
                <w:lang w:val="en-US" w:eastAsia="zh-CN"/>
              </w:rPr>
              <w:t>报价</w:t>
            </w:r>
            <w:r>
              <w:rPr>
                <w:rFonts w:hint="eastAsia" w:cs="Times New Roman"/>
                <w:b/>
              </w:rPr>
              <w:t>（元）</w:t>
            </w:r>
          </w:p>
        </w:tc>
        <w:tc>
          <w:tcPr>
            <w:tcW w:w="1039" w:type="pct"/>
            <w:tcBorders>
              <w:top w:val="single" w:color="auto" w:sz="4" w:space="0"/>
              <w:left w:val="single" w:color="auto" w:sz="4" w:space="0"/>
              <w:bottom w:val="single" w:color="auto" w:sz="4" w:space="0"/>
              <w:right w:val="single" w:color="auto" w:sz="4" w:space="0"/>
            </w:tcBorders>
            <w:vAlign w:val="center"/>
          </w:tcPr>
          <w:p w14:paraId="4ED2A3F1">
            <w:pPr>
              <w:jc w:val="center"/>
              <w:rPr>
                <w:rFonts w:cs="Times New Roman"/>
                <w:b/>
              </w:rPr>
            </w:pPr>
            <w:r>
              <w:rPr>
                <w:rFonts w:hint="eastAsia" w:cs="Times New Roman"/>
                <w:b/>
              </w:rPr>
              <w:t>备注</w:t>
            </w:r>
          </w:p>
        </w:tc>
      </w:tr>
      <w:tr w14:paraId="3CB18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185" w:type="pct"/>
            <w:tcBorders>
              <w:top w:val="nil"/>
              <w:left w:val="single" w:color="auto" w:sz="4" w:space="0"/>
              <w:right w:val="single" w:color="auto" w:sz="4" w:space="0"/>
            </w:tcBorders>
            <w:vAlign w:val="center"/>
          </w:tcPr>
          <w:p w14:paraId="4217D1B5">
            <w:pPr>
              <w:jc w:val="center"/>
              <w:rPr>
                <w:rFonts w:cs="宋体"/>
              </w:rPr>
            </w:pPr>
            <w:r>
              <w:rPr>
                <w:rFonts w:hint="eastAsia" w:cs="Times New Roman"/>
              </w:rPr>
              <w:t>沉降观测报价</w:t>
            </w:r>
          </w:p>
        </w:tc>
        <w:tc>
          <w:tcPr>
            <w:tcW w:w="559" w:type="pct"/>
            <w:tcBorders>
              <w:top w:val="single" w:color="auto" w:sz="4" w:space="0"/>
              <w:left w:val="single" w:color="auto" w:sz="4" w:space="0"/>
              <w:bottom w:val="single" w:color="auto" w:sz="4" w:space="0"/>
              <w:right w:val="single" w:color="auto" w:sz="4" w:space="0"/>
            </w:tcBorders>
            <w:vAlign w:val="center"/>
          </w:tcPr>
          <w:p w14:paraId="26D4F4FC">
            <w:pPr>
              <w:spacing w:line="240" w:lineRule="exact"/>
              <w:jc w:val="center"/>
              <w:rPr>
                <w:rFonts w:cs="Times New Roman"/>
              </w:rPr>
            </w:pPr>
            <w:r>
              <w:rPr>
                <w:rFonts w:hint="eastAsia" w:cs="Times New Roman"/>
              </w:rPr>
              <w:t>1</w:t>
            </w:r>
          </w:p>
        </w:tc>
        <w:tc>
          <w:tcPr>
            <w:tcW w:w="801" w:type="pct"/>
            <w:tcBorders>
              <w:top w:val="single" w:color="auto" w:sz="4" w:space="0"/>
              <w:left w:val="single" w:color="auto" w:sz="4" w:space="0"/>
              <w:bottom w:val="single" w:color="auto" w:sz="4" w:space="0"/>
              <w:right w:val="single" w:color="auto" w:sz="4" w:space="0"/>
            </w:tcBorders>
            <w:vAlign w:val="center"/>
          </w:tcPr>
          <w:p w14:paraId="52C72510">
            <w:pPr>
              <w:spacing w:line="240" w:lineRule="exact"/>
              <w:jc w:val="center"/>
              <w:rPr>
                <w:rFonts w:cs="Times New Roman"/>
              </w:rPr>
            </w:pPr>
            <w:r>
              <w:rPr>
                <w:rFonts w:hint="eastAsia" w:cs="Times New Roman"/>
              </w:rPr>
              <w:t>项</w:t>
            </w:r>
          </w:p>
        </w:tc>
        <w:tc>
          <w:tcPr>
            <w:tcW w:w="1414" w:type="pct"/>
            <w:tcBorders>
              <w:top w:val="single" w:color="auto" w:sz="4" w:space="0"/>
              <w:left w:val="single" w:color="auto" w:sz="4" w:space="0"/>
              <w:bottom w:val="single" w:color="auto" w:sz="4" w:space="0"/>
              <w:right w:val="single" w:color="auto" w:sz="4" w:space="0"/>
            </w:tcBorders>
            <w:vAlign w:val="center"/>
          </w:tcPr>
          <w:p w14:paraId="53719FEF">
            <w:pPr>
              <w:ind w:firstLine="482"/>
              <w:rPr>
                <w:rFonts w:cs="Times New Roman"/>
              </w:rPr>
            </w:pPr>
          </w:p>
        </w:tc>
        <w:tc>
          <w:tcPr>
            <w:tcW w:w="1039" w:type="pct"/>
            <w:vMerge w:val="restart"/>
            <w:tcBorders>
              <w:top w:val="single" w:color="auto" w:sz="4" w:space="0"/>
              <w:left w:val="single" w:color="auto" w:sz="4" w:space="0"/>
              <w:right w:val="single" w:color="auto" w:sz="4" w:space="0"/>
            </w:tcBorders>
            <w:vAlign w:val="center"/>
          </w:tcPr>
          <w:p w14:paraId="49116DE3">
            <w:pPr>
              <w:rPr>
                <w:rFonts w:cs="Times New Roman"/>
              </w:rPr>
            </w:pPr>
            <w:r>
              <w:rPr>
                <w:rFonts w:hint="eastAsia" w:cs="Times New Roman"/>
              </w:rPr>
              <w:t>根据项目图纸及现场情况由供应商自行报价</w:t>
            </w:r>
          </w:p>
        </w:tc>
      </w:tr>
      <w:tr w14:paraId="4F100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1185" w:type="pct"/>
            <w:tcBorders>
              <w:top w:val="nil"/>
              <w:left w:val="single" w:color="auto" w:sz="4" w:space="0"/>
              <w:right w:val="single" w:color="auto" w:sz="4" w:space="0"/>
            </w:tcBorders>
            <w:vAlign w:val="center"/>
          </w:tcPr>
          <w:p w14:paraId="27E479E2">
            <w:pPr>
              <w:jc w:val="center"/>
              <w:rPr>
                <w:rFonts w:cs="Times New Roman"/>
              </w:rPr>
            </w:pPr>
            <w:r>
              <w:rPr>
                <w:rFonts w:hint="eastAsia" w:cs="Times New Roman"/>
              </w:rPr>
              <w:t>基坑监测报价</w:t>
            </w:r>
          </w:p>
        </w:tc>
        <w:tc>
          <w:tcPr>
            <w:tcW w:w="559" w:type="pct"/>
            <w:tcBorders>
              <w:top w:val="single" w:color="auto" w:sz="4" w:space="0"/>
              <w:left w:val="single" w:color="auto" w:sz="4" w:space="0"/>
              <w:bottom w:val="single" w:color="auto" w:sz="4" w:space="0"/>
              <w:right w:val="single" w:color="auto" w:sz="4" w:space="0"/>
            </w:tcBorders>
            <w:vAlign w:val="center"/>
          </w:tcPr>
          <w:p w14:paraId="0324A0A8">
            <w:pPr>
              <w:spacing w:line="240" w:lineRule="exact"/>
              <w:jc w:val="center"/>
              <w:rPr>
                <w:rFonts w:cs="Times New Roman"/>
              </w:rPr>
            </w:pPr>
            <w:r>
              <w:rPr>
                <w:rFonts w:hint="eastAsia" w:cs="Times New Roman"/>
              </w:rPr>
              <w:t>1</w:t>
            </w:r>
          </w:p>
        </w:tc>
        <w:tc>
          <w:tcPr>
            <w:tcW w:w="801" w:type="pct"/>
            <w:tcBorders>
              <w:top w:val="single" w:color="auto" w:sz="4" w:space="0"/>
              <w:left w:val="single" w:color="auto" w:sz="4" w:space="0"/>
              <w:bottom w:val="single" w:color="auto" w:sz="4" w:space="0"/>
              <w:right w:val="single" w:color="auto" w:sz="4" w:space="0"/>
            </w:tcBorders>
            <w:vAlign w:val="center"/>
          </w:tcPr>
          <w:p w14:paraId="2F34006F">
            <w:pPr>
              <w:spacing w:line="240" w:lineRule="exact"/>
              <w:jc w:val="center"/>
              <w:rPr>
                <w:rFonts w:cs="Times New Roman"/>
              </w:rPr>
            </w:pPr>
            <w:r>
              <w:rPr>
                <w:rFonts w:hint="eastAsia" w:cs="Times New Roman"/>
              </w:rPr>
              <w:t>项</w:t>
            </w:r>
          </w:p>
        </w:tc>
        <w:tc>
          <w:tcPr>
            <w:tcW w:w="1414" w:type="pct"/>
            <w:tcBorders>
              <w:top w:val="single" w:color="auto" w:sz="4" w:space="0"/>
              <w:left w:val="single" w:color="auto" w:sz="4" w:space="0"/>
              <w:bottom w:val="single" w:color="auto" w:sz="4" w:space="0"/>
              <w:right w:val="single" w:color="auto" w:sz="4" w:space="0"/>
            </w:tcBorders>
            <w:vAlign w:val="center"/>
          </w:tcPr>
          <w:p w14:paraId="46C09A0E">
            <w:pPr>
              <w:ind w:firstLine="482"/>
              <w:rPr>
                <w:rFonts w:cs="Times New Roman"/>
              </w:rPr>
            </w:pPr>
          </w:p>
        </w:tc>
        <w:tc>
          <w:tcPr>
            <w:tcW w:w="1039" w:type="pct"/>
            <w:vMerge w:val="continue"/>
            <w:tcBorders>
              <w:top w:val="single" w:color="auto" w:sz="4" w:space="0"/>
              <w:left w:val="single" w:color="auto" w:sz="4" w:space="0"/>
              <w:right w:val="single" w:color="auto" w:sz="4" w:space="0"/>
            </w:tcBorders>
            <w:vAlign w:val="center"/>
          </w:tcPr>
          <w:p w14:paraId="65E2F64E">
            <w:pPr>
              <w:spacing w:line="240" w:lineRule="exact"/>
              <w:rPr>
                <w:rFonts w:cs="Times New Roman"/>
              </w:rPr>
            </w:pPr>
          </w:p>
        </w:tc>
      </w:tr>
      <w:tr w14:paraId="74AF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85" w:type="pct"/>
            <w:tcBorders>
              <w:left w:val="single" w:color="auto" w:sz="4" w:space="0"/>
              <w:bottom w:val="single" w:color="auto" w:sz="4" w:space="0"/>
              <w:right w:val="single" w:color="auto" w:sz="4" w:space="0"/>
            </w:tcBorders>
            <w:vAlign w:val="center"/>
          </w:tcPr>
          <w:p w14:paraId="10A55718">
            <w:pPr>
              <w:ind w:firstLine="482"/>
              <w:rPr>
                <w:rFonts w:cs="Times New Roman"/>
              </w:rPr>
            </w:pPr>
            <w:r>
              <w:rPr>
                <w:rFonts w:hint="eastAsia" w:cs="Times New Roman"/>
              </w:rPr>
              <w:t>总报价</w:t>
            </w:r>
          </w:p>
        </w:tc>
        <w:tc>
          <w:tcPr>
            <w:tcW w:w="3814" w:type="pct"/>
            <w:gridSpan w:val="4"/>
            <w:tcBorders>
              <w:top w:val="single" w:color="auto" w:sz="4" w:space="0"/>
              <w:left w:val="single" w:color="auto" w:sz="4" w:space="0"/>
              <w:bottom w:val="single" w:color="auto" w:sz="4" w:space="0"/>
              <w:right w:val="single" w:color="auto" w:sz="4" w:space="0"/>
            </w:tcBorders>
            <w:vAlign w:val="center"/>
          </w:tcPr>
          <w:p w14:paraId="7FF1A765">
            <w:pPr>
              <w:ind w:firstLine="482"/>
              <w:rPr>
                <w:rFonts w:cs="Times New Roman"/>
              </w:rPr>
            </w:pPr>
            <w:r>
              <w:rPr>
                <w:rFonts w:hint="eastAsia" w:cs="Times New Roman"/>
              </w:rPr>
              <w:t>大写：</w:t>
            </w:r>
            <w:r>
              <w:rPr>
                <w:rFonts w:hint="eastAsia" w:cs="Times New Roman"/>
                <w:u w:val="single"/>
              </w:rPr>
              <w:t xml:space="preserve">                </w:t>
            </w:r>
            <w:r>
              <w:rPr>
                <w:rFonts w:hint="eastAsia" w:cs="Times New Roman"/>
              </w:rPr>
              <w:t>，小写：</w:t>
            </w:r>
            <w:r>
              <w:rPr>
                <w:rFonts w:hint="eastAsia" w:cs="Times New Roman"/>
                <w:u w:val="single"/>
              </w:rPr>
              <w:t xml:space="preserve">               </w:t>
            </w:r>
            <w:r>
              <w:rPr>
                <w:rFonts w:hint="eastAsia" w:cs="Times New Roman"/>
              </w:rPr>
              <w:t>。</w:t>
            </w:r>
          </w:p>
        </w:tc>
      </w:tr>
    </w:tbl>
    <w:p w14:paraId="381364AC">
      <w:pPr>
        <w:spacing w:line="360" w:lineRule="auto"/>
        <w:ind w:firstLine="482"/>
        <w:rPr>
          <w:rFonts w:hint="default" w:eastAsia="宋体" w:cs="Times New Roman"/>
          <w:bCs/>
          <w:lang w:val="en-US" w:eastAsia="zh-CN"/>
        </w:rPr>
      </w:pPr>
      <w:bookmarkStart w:id="2" w:name="_Hlk192437672"/>
      <w:r>
        <w:rPr>
          <w:rFonts w:hint="eastAsia" w:cs="Times New Roman"/>
          <w:bCs/>
        </w:rPr>
        <w:t>注：1.项目报价为</w:t>
      </w:r>
      <w:r>
        <w:rPr>
          <w:rFonts w:hint="eastAsia" w:cs="Times New Roman"/>
          <w:bCs/>
          <w:lang w:val="en-US" w:eastAsia="zh-CN"/>
        </w:rPr>
        <w:t>固定总价</w:t>
      </w:r>
      <w:r>
        <w:rPr>
          <w:rFonts w:hint="eastAsia" w:cs="Times New Roman"/>
          <w:bCs/>
        </w:rPr>
        <w:t>的形式，</w:t>
      </w:r>
      <w:r>
        <w:rPr>
          <w:rFonts w:hint="eastAsia" w:cs="Times New Roman"/>
          <w:bCs/>
          <w:lang w:val="en-US" w:eastAsia="zh-CN"/>
        </w:rPr>
        <w:t>总价</w:t>
      </w:r>
      <w:r>
        <w:rPr>
          <w:rFonts w:hint="eastAsia" w:cs="Times New Roman"/>
          <w:bCs/>
        </w:rPr>
        <w:t>包括：设备的租赁</w:t>
      </w:r>
      <w:r>
        <w:rPr>
          <w:rFonts w:cs="Times New Roman"/>
          <w:bCs/>
        </w:rPr>
        <w:t>(或购置)费、设备的进退场费及使用费、材料费、人工费、机械费、检测费、交通费、利润、管理费、税金、检测所需的措施费、检测服务所需制作安装费、现场水电费、保险费、社保税金、风险费、成果资料费、场地恢复费及与各单位协调产生的费用、检测期间各类价格的风险、物价上涨因素、国家政策性调整风险费用</w:t>
      </w:r>
      <w:r>
        <w:rPr>
          <w:rFonts w:hint="eastAsia" w:cs="Times New Roman"/>
          <w:bCs/>
        </w:rPr>
        <w:t>等一切费用。</w:t>
      </w:r>
    </w:p>
    <w:p w14:paraId="30B0D42B">
      <w:pPr>
        <w:spacing w:line="360" w:lineRule="auto"/>
        <w:ind w:firstLine="470" w:firstLineChars="196"/>
        <w:rPr>
          <w:rFonts w:cs="Times New Roman"/>
          <w:bCs/>
        </w:rPr>
      </w:pPr>
      <w:r>
        <w:rPr>
          <w:rFonts w:hint="eastAsia" w:cs="Times New Roman"/>
          <w:bCs/>
        </w:rPr>
        <w:t>2．基坑监测要求：按设计图纸、现场情况及相关规范文件等要求。</w:t>
      </w:r>
    </w:p>
    <w:p w14:paraId="1DCD02A0">
      <w:pPr>
        <w:ind w:firstLine="480"/>
        <w:rPr>
          <w:rFonts w:hAnsi="Times New Roman"/>
        </w:rPr>
      </w:pPr>
      <w:r>
        <w:rPr>
          <w:rFonts w:hint="eastAsia" w:cs="Times New Roman"/>
          <w:bCs/>
        </w:rPr>
        <w:t>3．沉降观测要求：观测频率、时间、次数按相关规范、文件等要求执行。对于突然发现严重裂缝或大量沉降等特殊情况，则应增加观测次数。管理用房和活动用房等沉降观测不单独列项，须综合考虑在报价中。</w:t>
      </w:r>
    </w:p>
    <w:bookmarkEnd w:id="2"/>
    <w:p w14:paraId="2BD6CAB3">
      <w:pPr>
        <w:ind w:firstLine="480"/>
        <w:rPr>
          <w:rFonts w:hAnsi="Times New Roman"/>
        </w:rPr>
      </w:pPr>
    </w:p>
    <w:p w14:paraId="4E20D42A">
      <w:pPr>
        <w:ind w:firstLine="480"/>
        <w:rPr>
          <w:rFonts w:hAnsi="Times New Roman"/>
        </w:rPr>
      </w:pPr>
    </w:p>
    <w:p w14:paraId="5C783F0D">
      <w:pPr>
        <w:rPr>
          <w:rFonts w:hAnsi="Times New Roman"/>
        </w:rPr>
      </w:pPr>
    </w:p>
    <w:p w14:paraId="0C17AFDD">
      <w:pPr>
        <w:spacing w:line="300" w:lineRule="auto"/>
        <w:ind w:firstLine="4800" w:firstLineChars="2000"/>
      </w:pPr>
      <w:r>
        <w:rPr>
          <w:rFonts w:hint="eastAsia"/>
        </w:rPr>
        <w:t>供应商：</w:t>
      </w:r>
      <w:r>
        <w:rPr>
          <w:rFonts w:hint="eastAsia"/>
          <w:u w:val="single"/>
        </w:rPr>
        <w:t xml:space="preserve">           </w:t>
      </w:r>
      <w:r>
        <w:rPr>
          <w:rFonts w:hint="eastAsia"/>
        </w:rPr>
        <w:t>（盖单位公章）</w:t>
      </w:r>
    </w:p>
    <w:p w14:paraId="6F3B98DB">
      <w:pPr>
        <w:spacing w:line="300" w:lineRule="auto"/>
        <w:ind w:firstLine="480"/>
      </w:pPr>
      <w:r>
        <w:rPr>
          <w:rFonts w:hint="eastAsia"/>
        </w:rPr>
        <w:t xml:space="preserve">                                    供应商授权代表：</w:t>
      </w:r>
      <w:r>
        <w:rPr>
          <w:rFonts w:hint="eastAsia"/>
          <w:u w:val="single"/>
        </w:rPr>
        <w:t xml:space="preserve">           </w:t>
      </w:r>
      <w:r>
        <w:rPr>
          <w:rFonts w:hint="eastAsia"/>
        </w:rPr>
        <w:t xml:space="preserve">（签字或盖章） </w:t>
      </w:r>
    </w:p>
    <w:p w14:paraId="03C27879">
      <w:pPr>
        <w:spacing w:line="300" w:lineRule="auto"/>
        <w:ind w:firstLine="4800" w:firstLineChars="2000"/>
      </w:pPr>
      <w:r>
        <w:rPr>
          <w:rFonts w:hint="eastAsia"/>
        </w:rPr>
        <w:t>联系方式：</w:t>
      </w:r>
      <w:r>
        <w:rPr>
          <w:rFonts w:hint="eastAsia"/>
          <w:u w:val="single"/>
        </w:rPr>
        <w:t xml:space="preserve">                  </w:t>
      </w:r>
    </w:p>
    <w:p w14:paraId="56945C7F">
      <w:pPr>
        <w:spacing w:line="360" w:lineRule="auto"/>
        <w:ind w:firstLine="5040" w:firstLineChars="2100"/>
      </w:pPr>
      <w:r>
        <w:rPr>
          <w:rFonts w:hint="eastAsia"/>
        </w:rPr>
        <w:t>日期：   年  月  日</w:t>
      </w:r>
    </w:p>
    <w:p w14:paraId="33AF3C86"/>
    <w:p w14:paraId="033E8326"/>
    <w:p w14:paraId="30A98E0D"/>
    <w:p w14:paraId="6A0FA892"/>
    <w:p w14:paraId="2AA0C554"/>
    <w:p w14:paraId="28FB14DC">
      <w:r>
        <w:rPr>
          <w:rFonts w:hint="eastAsia"/>
        </w:rPr>
        <w:t xml:space="preserve">附件3                     </w:t>
      </w:r>
    </w:p>
    <w:p w14:paraId="24E15E8B">
      <w:pPr>
        <w:jc w:val="center"/>
        <w:rPr>
          <w:b/>
          <w:bCs/>
          <w:sz w:val="32"/>
          <w:szCs w:val="32"/>
        </w:rPr>
      </w:pPr>
      <w:r>
        <w:rPr>
          <w:rFonts w:hint="eastAsia"/>
          <w:b/>
          <w:bCs/>
          <w:sz w:val="32"/>
          <w:szCs w:val="32"/>
        </w:rPr>
        <w:t>资格性和符合性审查表</w:t>
      </w:r>
    </w:p>
    <w:tbl>
      <w:tblPr>
        <w:tblStyle w:val="13"/>
        <w:tblW w:w="9752" w:type="dxa"/>
        <w:tblInd w:w="0" w:type="dxa"/>
        <w:tblLayout w:type="fixed"/>
        <w:tblCellMar>
          <w:top w:w="0" w:type="dxa"/>
          <w:left w:w="0" w:type="dxa"/>
          <w:bottom w:w="0" w:type="dxa"/>
          <w:right w:w="0" w:type="dxa"/>
        </w:tblCellMar>
      </w:tblPr>
      <w:tblGrid>
        <w:gridCol w:w="3753"/>
        <w:gridCol w:w="5999"/>
      </w:tblGrid>
      <w:tr w14:paraId="0AA6A718">
        <w:tblPrEx>
          <w:tblCellMar>
            <w:top w:w="0" w:type="dxa"/>
            <w:left w:w="0" w:type="dxa"/>
            <w:bottom w:w="0" w:type="dxa"/>
            <w:right w:w="0" w:type="dxa"/>
          </w:tblCellMar>
        </w:tblPrEx>
        <w:trPr>
          <w:trHeight w:val="195" w:hRule="atLeast"/>
        </w:trPr>
        <w:tc>
          <w:tcPr>
            <w:tcW w:w="9752" w:type="dxa"/>
            <w:gridSpan w:val="2"/>
            <w:tcBorders>
              <w:top w:val="nil"/>
              <w:left w:val="nil"/>
              <w:bottom w:val="nil"/>
              <w:right w:val="nil"/>
            </w:tcBorders>
            <w:tcMar>
              <w:top w:w="15" w:type="dxa"/>
              <w:left w:w="15" w:type="dxa"/>
              <w:right w:w="15" w:type="dxa"/>
            </w:tcMar>
            <w:vAlign w:val="center"/>
          </w:tcPr>
          <w:p w14:paraId="182D2D98">
            <w:r>
              <w:rPr>
                <w:rFonts w:hint="eastAsia"/>
              </w:rPr>
              <w:t>评审小组按照下列指标对各响应人进行资格性和符合性审查。</w:t>
            </w:r>
          </w:p>
        </w:tc>
      </w:tr>
      <w:tr w14:paraId="16ECC10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A3BD4C">
            <w:pPr>
              <w:jc w:val="center"/>
            </w:pPr>
            <w:r>
              <w:rPr>
                <w:rFonts w:hint="eastAsia"/>
              </w:rPr>
              <w:t>评审因素</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3E122">
            <w:pPr>
              <w:jc w:val="center"/>
            </w:pPr>
            <w:r>
              <w:rPr>
                <w:rFonts w:hint="eastAsia"/>
              </w:rPr>
              <w:t>评审标准</w:t>
            </w:r>
          </w:p>
        </w:tc>
      </w:tr>
      <w:tr w14:paraId="07E4A1DF">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4E6547">
            <w:pPr>
              <w:jc w:val="center"/>
            </w:pPr>
            <w:r>
              <w:rPr>
                <w:rFonts w:hint="eastAsia"/>
              </w:rPr>
              <w:t>营业执照</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9010E3">
            <w:pPr>
              <w:jc w:val="center"/>
            </w:pPr>
            <w:r>
              <w:rPr>
                <w:rFonts w:hint="eastAsia"/>
              </w:rPr>
              <w:t>合法有效</w:t>
            </w:r>
          </w:p>
        </w:tc>
      </w:tr>
      <w:tr w14:paraId="1831D9B7">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7A5A7">
            <w:pPr>
              <w:jc w:val="center"/>
            </w:pPr>
            <w:r>
              <w:rPr>
                <w:rFonts w:hint="eastAsia"/>
              </w:rPr>
              <w:t>承诺书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E3D14E">
            <w:pPr>
              <w:jc w:val="center"/>
            </w:pPr>
            <w:r>
              <w:rPr>
                <w:rFonts w:hint="eastAsia"/>
              </w:rPr>
              <w:t>符合询价文件要求</w:t>
            </w:r>
          </w:p>
        </w:tc>
      </w:tr>
      <w:tr w14:paraId="3811BD28">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BB768">
            <w:pPr>
              <w:jc w:val="center"/>
              <w:rPr>
                <w:rFonts w:cs="Times New Roman"/>
                <w:bCs/>
              </w:rPr>
            </w:pPr>
            <w:r>
              <w:rPr>
                <w:rFonts w:hint="eastAsia"/>
              </w:rPr>
              <w:t>法定代表人授权委托书</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06D11C">
            <w:pPr>
              <w:jc w:val="center"/>
            </w:pPr>
            <w:r>
              <w:rPr>
                <w:rFonts w:hint="eastAsia"/>
              </w:rPr>
              <w:t>合法有效</w:t>
            </w:r>
          </w:p>
        </w:tc>
      </w:tr>
      <w:tr w14:paraId="02C8CF1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D00FB1">
            <w:pPr>
              <w:jc w:val="center"/>
            </w:pPr>
            <w:r>
              <w:rPr>
                <w:rFonts w:hint="eastAsia"/>
              </w:rPr>
              <w:t>法定代表人身份证明</w:t>
            </w:r>
          </w:p>
          <w:p w14:paraId="18792B7A">
            <w:pPr>
              <w:jc w:val="center"/>
            </w:pPr>
            <w:r>
              <w:rPr>
                <w:rFonts w:hint="eastAsia"/>
              </w:rPr>
              <w:t>授权委托人身份证明</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25BF8">
            <w:pPr>
              <w:jc w:val="center"/>
            </w:pPr>
            <w:r>
              <w:rPr>
                <w:rFonts w:hint="eastAsia"/>
              </w:rPr>
              <w:t>合法有效</w:t>
            </w:r>
          </w:p>
        </w:tc>
      </w:tr>
      <w:tr w14:paraId="33DA580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59A26">
            <w:pPr>
              <w:jc w:val="center"/>
              <w:rPr>
                <w:rFonts w:cs="Times New Roman"/>
                <w:bCs/>
              </w:rPr>
            </w:pPr>
            <w:bookmarkStart w:id="3" w:name="_Hlk192437422"/>
            <w:r>
              <w:rPr>
                <w:rFonts w:hint="eastAsia" w:cs="Times New Roman"/>
                <w:bCs/>
              </w:rPr>
              <w:t>企业资质</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352855">
            <w:pPr>
              <w:jc w:val="center"/>
            </w:pPr>
            <w:r>
              <w:rPr>
                <w:rFonts w:hint="eastAsia"/>
              </w:rPr>
              <w:t xml:space="preserve"> 具备国家测绘局颁发的测绘（业务范围含工程测量）乙级及以上测绘资质</w:t>
            </w:r>
          </w:p>
        </w:tc>
      </w:tr>
      <w:bookmarkEnd w:id="3"/>
      <w:tr w14:paraId="21741B65">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95E3E2">
            <w:pPr>
              <w:jc w:val="center"/>
            </w:pPr>
            <w:bookmarkStart w:id="4" w:name="_Hlk183722562"/>
            <w:r>
              <w:rPr>
                <w:rFonts w:hint="eastAsia"/>
              </w:rPr>
              <w:t>项目负责人</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5434A4">
            <w:pPr>
              <w:jc w:val="center"/>
            </w:pPr>
            <w:r>
              <w:rPr>
                <w:rFonts w:hint="eastAsia"/>
              </w:rPr>
              <w:t>具有岩土工程或工程测量相关专业中级或以上职称</w:t>
            </w:r>
          </w:p>
        </w:tc>
      </w:tr>
      <w:tr w14:paraId="49E30DF6">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E163B3">
            <w:pPr>
              <w:jc w:val="center"/>
              <w:rPr>
                <w:rFonts w:hint="eastAsia"/>
              </w:rPr>
            </w:pPr>
            <w:r>
              <w:rPr>
                <w:rFonts w:hint="eastAsia" w:hAnsi="宋体"/>
              </w:rPr>
              <w:t>基坑检测方案和沉降观测方案</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42895E">
            <w:pPr>
              <w:jc w:val="center"/>
              <w:rPr>
                <w:rFonts w:hint="eastAsia"/>
              </w:rPr>
            </w:pPr>
            <w:r>
              <w:rPr>
                <w:rFonts w:hint="eastAsia"/>
              </w:rPr>
              <w:t>符合询价文件要求</w:t>
            </w:r>
          </w:p>
        </w:tc>
      </w:tr>
      <w:tr w14:paraId="1D78CBCB">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2158FC">
            <w:pPr>
              <w:jc w:val="center"/>
              <w:rPr>
                <w:rFonts w:hint="eastAsia" w:eastAsia="宋体"/>
                <w:lang w:val="en-US" w:eastAsia="zh-CN"/>
              </w:rPr>
            </w:pPr>
            <w:r>
              <w:rPr>
                <w:rFonts w:hint="eastAsia"/>
                <w:lang w:val="en-US" w:eastAsia="zh-CN"/>
              </w:rPr>
              <w:t>偏离表</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44749A">
            <w:pPr>
              <w:jc w:val="center"/>
              <w:rPr>
                <w:rFonts w:hint="eastAsia"/>
              </w:rPr>
            </w:pPr>
            <w:r>
              <w:rPr>
                <w:rFonts w:hint="eastAsia"/>
              </w:rPr>
              <w:t>符合询价文件要求</w:t>
            </w:r>
          </w:p>
        </w:tc>
      </w:tr>
      <w:tr w14:paraId="0EF84248">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E6D966">
            <w:pPr>
              <w:jc w:val="center"/>
            </w:pPr>
            <w:r>
              <w:rPr>
                <w:rFonts w:hint="eastAsia"/>
              </w:rPr>
              <w:t>信用状况</w:t>
            </w:r>
          </w:p>
        </w:tc>
        <w:tc>
          <w:tcPr>
            <w:tcW w:w="59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2ED042">
            <w:pPr>
              <w:jc w:val="center"/>
            </w:pPr>
            <w:r>
              <w:rPr>
                <w:rFonts w:hint="eastAsia"/>
              </w:rPr>
              <w:t>符合询价文件要求</w:t>
            </w:r>
          </w:p>
        </w:tc>
      </w:tr>
      <w:bookmarkEnd w:id="4"/>
    </w:tbl>
    <w:p w14:paraId="499308DB"/>
    <w:p w14:paraId="4B10C866"/>
    <w:p w14:paraId="750A3FE6"/>
    <w:p w14:paraId="2D6FD2AB"/>
    <w:p w14:paraId="3CC864D6"/>
    <w:p w14:paraId="7EC4199E"/>
    <w:p w14:paraId="566962E8">
      <w:pPr>
        <w:rPr>
          <w:szCs w:val="28"/>
        </w:rPr>
      </w:pPr>
    </w:p>
    <w:p w14:paraId="04F66C97">
      <w:pPr>
        <w:tabs>
          <w:tab w:val="left" w:pos="0"/>
          <w:tab w:val="left" w:pos="420"/>
        </w:tabs>
        <w:spacing w:line="480" w:lineRule="exact"/>
        <w:ind w:right="3360"/>
        <w:rPr>
          <w:rFonts w:cs="宋体"/>
          <w:b/>
          <w:bCs/>
          <w:sz w:val="28"/>
          <w:szCs w:val="28"/>
        </w:rPr>
      </w:pPr>
      <w:r>
        <w:rPr>
          <w:rFonts w:hint="eastAsia"/>
          <w:szCs w:val="28"/>
        </w:rPr>
        <w:t xml:space="preserve">附件4 </w:t>
      </w:r>
      <w:r>
        <w:rPr>
          <w:rFonts w:hint="eastAsia" w:cs="宋体"/>
          <w:b/>
          <w:bCs/>
          <w:sz w:val="28"/>
          <w:szCs w:val="28"/>
        </w:rPr>
        <w:t xml:space="preserve">                </w:t>
      </w:r>
    </w:p>
    <w:p w14:paraId="08619975">
      <w:pPr>
        <w:tabs>
          <w:tab w:val="left" w:pos="0"/>
          <w:tab w:val="left" w:pos="420"/>
        </w:tabs>
        <w:spacing w:line="480" w:lineRule="exact"/>
        <w:ind w:right="3360"/>
        <w:jc w:val="center"/>
        <w:rPr>
          <w:rFonts w:cs="宋体"/>
          <w:b/>
          <w:bCs/>
          <w:sz w:val="28"/>
          <w:szCs w:val="28"/>
        </w:rPr>
      </w:pPr>
      <w:r>
        <w:rPr>
          <w:rFonts w:hint="eastAsia" w:cs="宋体"/>
          <w:b/>
          <w:bCs/>
          <w:sz w:val="28"/>
          <w:szCs w:val="28"/>
        </w:rPr>
        <w:t xml:space="preserve">                      偏离表</w:t>
      </w:r>
    </w:p>
    <w:p w14:paraId="41F66CBA">
      <w:pPr>
        <w:ind w:firstLine="420"/>
        <w:rPr>
          <w:rFonts w:cs="宋体"/>
        </w:rPr>
      </w:pPr>
      <w:r>
        <w:rPr>
          <w:rFonts w:hint="eastAsia" w:cs="宋体"/>
        </w:rPr>
        <w:t>项目编号：XYJS-CG</w:t>
      </w:r>
      <w:r>
        <w:rPr>
          <w:rFonts w:cs="宋体"/>
        </w:rPr>
        <w:t>XJ</w:t>
      </w:r>
      <w:r>
        <w:rPr>
          <w:rFonts w:hint="eastAsia" w:cs="宋体"/>
        </w:rPr>
        <w:t>-2026-</w:t>
      </w:r>
      <w:r>
        <w:rPr>
          <w:rFonts w:cs="宋体"/>
        </w:rPr>
        <w:t>0</w:t>
      </w:r>
      <w:r>
        <w:rPr>
          <w:rFonts w:hint="eastAsia" w:cs="宋体"/>
        </w:rPr>
        <w:t>2</w:t>
      </w:r>
    </w:p>
    <w:tbl>
      <w:tblPr>
        <w:tblStyle w:val="13"/>
        <w:tblW w:w="9750" w:type="dxa"/>
        <w:tblInd w:w="116" w:type="dxa"/>
        <w:tblBorders>
          <w:top w:val="double" w:color="auto" w:sz="6" w:space="0"/>
          <w:left w:val="double" w:color="auto" w:sz="6" w:space="0"/>
          <w:bottom w:val="double" w:color="auto" w:sz="6" w:space="0"/>
          <w:right w:val="double" w:color="auto" w:sz="6" w:space="0"/>
          <w:insideH w:val="none" w:color="auto" w:sz="0" w:space="0"/>
          <w:insideV w:val="none" w:color="auto" w:sz="0" w:space="0"/>
        </w:tblBorders>
        <w:tblLayout w:type="fixed"/>
        <w:tblCellMar>
          <w:top w:w="0" w:type="dxa"/>
          <w:left w:w="108" w:type="dxa"/>
          <w:bottom w:w="0" w:type="dxa"/>
          <w:right w:w="108" w:type="dxa"/>
        </w:tblCellMar>
      </w:tblPr>
      <w:tblGrid>
        <w:gridCol w:w="712"/>
        <w:gridCol w:w="900"/>
        <w:gridCol w:w="2340"/>
        <w:gridCol w:w="1620"/>
        <w:gridCol w:w="1260"/>
        <w:gridCol w:w="2918"/>
      </w:tblGrid>
      <w:tr w14:paraId="4C9A572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712" w:type="dxa"/>
            <w:tcBorders>
              <w:top w:val="double" w:color="000000" w:sz="6" w:space="0"/>
              <w:left w:val="double" w:color="000000" w:sz="6" w:space="0"/>
              <w:bottom w:val="single" w:color="000000" w:sz="6" w:space="0"/>
              <w:right w:val="single" w:color="000000" w:sz="6" w:space="0"/>
            </w:tcBorders>
            <w:vAlign w:val="center"/>
          </w:tcPr>
          <w:p w14:paraId="78B2E552">
            <w:pPr>
              <w:rPr>
                <w:rFonts w:cs="宋体"/>
                <w:caps/>
              </w:rPr>
            </w:pPr>
            <w:r>
              <w:rPr>
                <w:rFonts w:hint="eastAsia" w:cs="宋体"/>
                <w:caps/>
              </w:rPr>
              <w:t>序号</w:t>
            </w:r>
          </w:p>
        </w:tc>
        <w:tc>
          <w:tcPr>
            <w:tcW w:w="900" w:type="dxa"/>
            <w:tcBorders>
              <w:top w:val="double" w:color="000000" w:sz="6" w:space="0"/>
              <w:left w:val="single" w:color="000000" w:sz="6" w:space="0"/>
              <w:bottom w:val="single" w:color="000000" w:sz="6" w:space="0"/>
              <w:right w:val="single" w:color="000000" w:sz="6" w:space="0"/>
            </w:tcBorders>
            <w:vAlign w:val="center"/>
          </w:tcPr>
          <w:p w14:paraId="515D9804">
            <w:pPr>
              <w:rPr>
                <w:rFonts w:cs="宋体"/>
                <w:caps/>
              </w:rPr>
            </w:pPr>
            <w:r>
              <w:rPr>
                <w:rFonts w:hint="eastAsia" w:cs="宋体"/>
                <w:caps/>
              </w:rPr>
              <w:t>偏离</w:t>
            </w:r>
          </w:p>
          <w:p w14:paraId="2AB69019">
            <w:pPr>
              <w:rPr>
                <w:rFonts w:cs="宋体"/>
                <w:caps/>
              </w:rPr>
            </w:pPr>
            <w:r>
              <w:rPr>
                <w:rFonts w:hint="eastAsia" w:cs="宋体"/>
                <w:caps/>
              </w:rPr>
              <w:t>内容</w:t>
            </w:r>
          </w:p>
        </w:tc>
        <w:tc>
          <w:tcPr>
            <w:tcW w:w="2340" w:type="dxa"/>
            <w:tcBorders>
              <w:top w:val="double" w:color="000000" w:sz="6" w:space="0"/>
              <w:left w:val="single" w:color="000000" w:sz="6" w:space="0"/>
              <w:bottom w:val="single" w:color="000000" w:sz="6" w:space="0"/>
              <w:right w:val="single" w:color="000000" w:sz="6" w:space="0"/>
            </w:tcBorders>
            <w:vAlign w:val="center"/>
          </w:tcPr>
          <w:p w14:paraId="4FF32E11">
            <w:pPr>
              <w:jc w:val="center"/>
              <w:rPr>
                <w:rFonts w:cs="宋体"/>
                <w:caps/>
              </w:rPr>
            </w:pPr>
            <w:bookmarkStart w:id="5" w:name="_Hlk146520213"/>
            <w:r>
              <w:rPr>
                <w:rFonts w:hint="eastAsia" w:cs="宋体"/>
              </w:rPr>
              <w:t>询价文件</w:t>
            </w:r>
            <w:bookmarkEnd w:id="5"/>
            <w:r>
              <w:rPr>
                <w:rFonts w:hint="eastAsia" w:cs="宋体"/>
              </w:rPr>
              <w:t>（含询价文件</w:t>
            </w:r>
            <w:r>
              <w:rPr>
                <w:rFonts w:hint="eastAsia" w:cs="宋体"/>
                <w:kern w:val="0"/>
              </w:rPr>
              <w:t>的澄清或者修改</w:t>
            </w:r>
            <w:r>
              <w:rPr>
                <w:rFonts w:hint="eastAsia" w:cs="宋体"/>
              </w:rPr>
              <w:t>）要求</w:t>
            </w:r>
          </w:p>
        </w:tc>
        <w:tc>
          <w:tcPr>
            <w:tcW w:w="1620" w:type="dxa"/>
            <w:tcBorders>
              <w:top w:val="double" w:color="000000" w:sz="6" w:space="0"/>
              <w:left w:val="single" w:color="000000" w:sz="6" w:space="0"/>
              <w:bottom w:val="single" w:color="000000" w:sz="6" w:space="0"/>
              <w:right w:val="single" w:color="000000" w:sz="6" w:space="0"/>
            </w:tcBorders>
            <w:vAlign w:val="center"/>
          </w:tcPr>
          <w:p w14:paraId="50E6B7BF">
            <w:pPr>
              <w:jc w:val="center"/>
              <w:rPr>
                <w:rFonts w:cs="宋体"/>
              </w:rPr>
            </w:pPr>
            <w:r>
              <w:rPr>
                <w:rFonts w:hint="eastAsia" w:cs="宋体"/>
              </w:rPr>
              <w:t>响应文件中</w:t>
            </w:r>
          </w:p>
          <w:p w14:paraId="0A23275E">
            <w:pPr>
              <w:jc w:val="center"/>
              <w:rPr>
                <w:rFonts w:cs="宋体"/>
                <w:caps/>
              </w:rPr>
            </w:pPr>
            <w:r>
              <w:rPr>
                <w:rFonts w:hint="eastAsia" w:cs="宋体"/>
              </w:rPr>
              <w:t>的内容</w:t>
            </w:r>
          </w:p>
        </w:tc>
        <w:tc>
          <w:tcPr>
            <w:tcW w:w="1260" w:type="dxa"/>
            <w:tcBorders>
              <w:top w:val="double" w:color="000000" w:sz="6" w:space="0"/>
              <w:left w:val="single" w:color="000000" w:sz="6" w:space="0"/>
              <w:bottom w:val="single" w:color="000000" w:sz="6" w:space="0"/>
              <w:right w:val="single" w:color="000000" w:sz="6" w:space="0"/>
            </w:tcBorders>
            <w:vAlign w:val="center"/>
          </w:tcPr>
          <w:p w14:paraId="1EDE31C2">
            <w:pPr>
              <w:rPr>
                <w:rFonts w:cs="宋体"/>
                <w:caps/>
              </w:rPr>
            </w:pPr>
            <w:r>
              <w:rPr>
                <w:rFonts w:hint="eastAsia" w:cs="宋体"/>
                <w:caps/>
              </w:rPr>
              <w:t>（正/负/无）偏离</w:t>
            </w:r>
          </w:p>
        </w:tc>
        <w:tc>
          <w:tcPr>
            <w:tcW w:w="2918" w:type="dxa"/>
            <w:tcBorders>
              <w:top w:val="double" w:color="000000" w:sz="6" w:space="0"/>
              <w:left w:val="single" w:color="000000" w:sz="6" w:space="0"/>
              <w:bottom w:val="single" w:color="000000" w:sz="6" w:space="0"/>
              <w:right w:val="double" w:color="000000" w:sz="6" w:space="0"/>
            </w:tcBorders>
            <w:vAlign w:val="center"/>
          </w:tcPr>
          <w:p w14:paraId="69E5C80F">
            <w:pPr>
              <w:jc w:val="center"/>
              <w:rPr>
                <w:rFonts w:cs="宋体"/>
                <w:caps/>
              </w:rPr>
            </w:pPr>
            <w:r>
              <w:rPr>
                <w:rFonts w:hint="eastAsia" w:cs="宋体"/>
                <w:caps/>
              </w:rPr>
              <w:t>说明</w:t>
            </w:r>
          </w:p>
        </w:tc>
      </w:tr>
      <w:tr w14:paraId="3E32B8A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2BCB082F">
            <w:pPr>
              <w:jc w:val="center"/>
              <w:rPr>
                <w:rFonts w:cs="宋体"/>
                <w:caps/>
              </w:rPr>
            </w:pPr>
            <w:r>
              <w:rPr>
                <w:rFonts w:hint="eastAsia" w:cs="宋体"/>
                <w:caps/>
              </w:rPr>
              <w:t>1</w:t>
            </w:r>
          </w:p>
        </w:tc>
        <w:tc>
          <w:tcPr>
            <w:tcW w:w="900" w:type="dxa"/>
            <w:tcBorders>
              <w:top w:val="single" w:color="000000" w:sz="6" w:space="0"/>
              <w:left w:val="single" w:color="000000" w:sz="6" w:space="0"/>
              <w:bottom w:val="single" w:color="000000" w:sz="6" w:space="0"/>
              <w:right w:val="single" w:color="000000" w:sz="6" w:space="0"/>
            </w:tcBorders>
            <w:vAlign w:val="center"/>
          </w:tcPr>
          <w:p w14:paraId="3AA5BFE1">
            <w:pPr>
              <w:ind w:firstLine="420"/>
              <w:jc w:val="center"/>
              <w:rPr>
                <w:rFonts w:cs="宋体"/>
                <w:caps/>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FE7D902">
            <w:pPr>
              <w:ind w:firstLine="420"/>
              <w:jc w:val="center"/>
              <w:rPr>
                <w:rFonts w:cs="宋体"/>
                <w:caps/>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B9D422C">
            <w:pPr>
              <w:ind w:firstLine="420"/>
              <w:jc w:val="center"/>
              <w:rPr>
                <w:rFonts w:cs="宋体"/>
                <w:caps/>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73B6A15E">
            <w:pPr>
              <w:ind w:firstLine="420"/>
              <w:jc w:val="center"/>
              <w:rPr>
                <w:rFonts w:cs="宋体"/>
                <w:caps/>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1F1DFE0F">
            <w:pPr>
              <w:ind w:firstLine="420"/>
              <w:jc w:val="center"/>
              <w:rPr>
                <w:rFonts w:cs="宋体"/>
                <w:caps/>
              </w:rPr>
            </w:pPr>
          </w:p>
        </w:tc>
      </w:tr>
      <w:tr w14:paraId="4337097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168B86C5">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6297BE9D">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E3AB46E">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492502A">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EBDABD1">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934751A">
            <w:pPr>
              <w:ind w:firstLine="420"/>
              <w:jc w:val="center"/>
              <w:rPr>
                <w:rFonts w:cs="宋体"/>
              </w:rPr>
            </w:pPr>
          </w:p>
        </w:tc>
      </w:tr>
      <w:tr w14:paraId="186B081C">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6A4DF059">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75D1501">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5FD6BD2">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71476412">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091C693">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83A9EAF">
            <w:pPr>
              <w:ind w:firstLine="420"/>
              <w:jc w:val="center"/>
              <w:rPr>
                <w:rFonts w:cs="宋体"/>
              </w:rPr>
            </w:pPr>
          </w:p>
        </w:tc>
      </w:tr>
      <w:tr w14:paraId="3C8105CD">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786BF3FD">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193D9D32">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6F68A406">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3DAB2233">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ABE0739">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0F551D65">
            <w:pPr>
              <w:ind w:firstLine="420"/>
              <w:jc w:val="center"/>
              <w:rPr>
                <w:rFonts w:cs="宋体"/>
              </w:rPr>
            </w:pPr>
          </w:p>
        </w:tc>
      </w:tr>
      <w:tr w14:paraId="2AC4AA5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69D40AB0">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6F52D9E0">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758C68F">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658EA839">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5DFB04FF">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046D043">
            <w:pPr>
              <w:ind w:firstLine="420"/>
              <w:jc w:val="center"/>
              <w:rPr>
                <w:rFonts w:cs="宋体"/>
              </w:rPr>
            </w:pPr>
          </w:p>
        </w:tc>
      </w:tr>
      <w:tr w14:paraId="243E1D9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3583026B">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B47CE5B">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3E6D73BE">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4131DB21">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48B8A45A">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0EF6772">
            <w:pPr>
              <w:ind w:firstLine="420"/>
              <w:jc w:val="center"/>
              <w:rPr>
                <w:rFonts w:cs="宋体"/>
              </w:rPr>
            </w:pPr>
          </w:p>
        </w:tc>
      </w:tr>
      <w:tr w14:paraId="339C9178">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4A6517E3">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16E36BB">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1891D68D">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1F6A3F33">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D428DC1">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35CCFB0A">
            <w:pPr>
              <w:ind w:firstLine="420"/>
              <w:jc w:val="center"/>
              <w:rPr>
                <w:rFonts w:cs="宋体"/>
              </w:rPr>
            </w:pPr>
          </w:p>
        </w:tc>
      </w:tr>
      <w:tr w14:paraId="1E6DE5B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tcPr>
          <w:p w14:paraId="207F5E32">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52DEB0B">
            <w:pPr>
              <w:ind w:firstLine="420"/>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119303C">
            <w:pPr>
              <w:ind w:firstLine="420"/>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4B71220A">
            <w:pPr>
              <w:ind w:firstLine="420"/>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4E360745">
            <w:pPr>
              <w:ind w:firstLine="420"/>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FD933A9">
            <w:pPr>
              <w:ind w:firstLine="420"/>
              <w:rPr>
                <w:rFonts w:cs="宋体"/>
              </w:rPr>
            </w:pPr>
          </w:p>
        </w:tc>
      </w:tr>
      <w:tr w14:paraId="3DE66F5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double" w:color="000000" w:sz="6" w:space="0"/>
              <w:right w:val="single" w:color="000000" w:sz="6" w:space="0"/>
            </w:tcBorders>
          </w:tcPr>
          <w:p w14:paraId="466F9E6F">
            <w:pPr>
              <w:ind w:firstLine="420"/>
              <w:jc w:val="center"/>
              <w:rPr>
                <w:rFonts w:cs="宋体"/>
              </w:rPr>
            </w:pPr>
          </w:p>
        </w:tc>
        <w:tc>
          <w:tcPr>
            <w:tcW w:w="900" w:type="dxa"/>
            <w:tcBorders>
              <w:top w:val="single" w:color="000000" w:sz="6" w:space="0"/>
              <w:left w:val="single" w:color="000000" w:sz="6" w:space="0"/>
              <w:bottom w:val="double" w:color="000000" w:sz="6" w:space="0"/>
              <w:right w:val="single" w:color="000000" w:sz="6" w:space="0"/>
            </w:tcBorders>
            <w:vAlign w:val="center"/>
          </w:tcPr>
          <w:p w14:paraId="3531496F">
            <w:pPr>
              <w:ind w:firstLine="420"/>
              <w:rPr>
                <w:rFonts w:cs="宋体"/>
              </w:rPr>
            </w:pPr>
          </w:p>
        </w:tc>
        <w:tc>
          <w:tcPr>
            <w:tcW w:w="2340" w:type="dxa"/>
            <w:tcBorders>
              <w:top w:val="single" w:color="000000" w:sz="6" w:space="0"/>
              <w:left w:val="single" w:color="000000" w:sz="6" w:space="0"/>
              <w:bottom w:val="double" w:color="000000" w:sz="6" w:space="0"/>
              <w:right w:val="single" w:color="000000" w:sz="6" w:space="0"/>
            </w:tcBorders>
            <w:vAlign w:val="center"/>
          </w:tcPr>
          <w:p w14:paraId="4866B05F">
            <w:pPr>
              <w:ind w:firstLine="420"/>
              <w:rPr>
                <w:rFonts w:cs="宋体"/>
              </w:rPr>
            </w:pPr>
          </w:p>
        </w:tc>
        <w:tc>
          <w:tcPr>
            <w:tcW w:w="1620" w:type="dxa"/>
            <w:tcBorders>
              <w:top w:val="single" w:color="000000" w:sz="6" w:space="0"/>
              <w:left w:val="single" w:color="000000" w:sz="6" w:space="0"/>
              <w:bottom w:val="double" w:color="000000" w:sz="6" w:space="0"/>
              <w:right w:val="single" w:color="000000" w:sz="6" w:space="0"/>
            </w:tcBorders>
            <w:vAlign w:val="center"/>
          </w:tcPr>
          <w:p w14:paraId="472F7000">
            <w:pPr>
              <w:ind w:firstLine="420"/>
              <w:rPr>
                <w:rFonts w:cs="宋体"/>
              </w:rPr>
            </w:pPr>
          </w:p>
        </w:tc>
        <w:tc>
          <w:tcPr>
            <w:tcW w:w="1260" w:type="dxa"/>
            <w:tcBorders>
              <w:top w:val="single" w:color="000000" w:sz="6" w:space="0"/>
              <w:left w:val="single" w:color="000000" w:sz="6" w:space="0"/>
              <w:bottom w:val="double" w:color="000000" w:sz="6" w:space="0"/>
              <w:right w:val="single" w:color="000000" w:sz="6" w:space="0"/>
            </w:tcBorders>
            <w:vAlign w:val="center"/>
          </w:tcPr>
          <w:p w14:paraId="2B14CA8A">
            <w:pPr>
              <w:ind w:firstLine="420"/>
              <w:rPr>
                <w:rFonts w:cs="宋体"/>
              </w:rPr>
            </w:pPr>
          </w:p>
        </w:tc>
        <w:tc>
          <w:tcPr>
            <w:tcW w:w="2918" w:type="dxa"/>
            <w:tcBorders>
              <w:top w:val="single" w:color="000000" w:sz="6" w:space="0"/>
              <w:left w:val="single" w:color="000000" w:sz="6" w:space="0"/>
              <w:bottom w:val="double" w:color="000000" w:sz="6" w:space="0"/>
              <w:right w:val="double" w:color="000000" w:sz="6" w:space="0"/>
            </w:tcBorders>
            <w:vAlign w:val="center"/>
          </w:tcPr>
          <w:p w14:paraId="6D799458">
            <w:pPr>
              <w:ind w:firstLine="420"/>
              <w:rPr>
                <w:rFonts w:cs="宋体"/>
              </w:rPr>
            </w:pPr>
          </w:p>
        </w:tc>
      </w:tr>
    </w:tbl>
    <w:p w14:paraId="48089D35">
      <w:pPr>
        <w:spacing w:line="480" w:lineRule="exact"/>
        <w:ind w:firstLine="420"/>
        <w:rPr>
          <w:rFonts w:cs="宋体"/>
        </w:rPr>
      </w:pPr>
      <w:r>
        <w:rPr>
          <w:rFonts w:hint="eastAsia" w:cs="宋体"/>
        </w:rPr>
        <w:t>注：1、供应商的响应文件中的内容与询价文件（含询价文件</w:t>
      </w:r>
      <w:r>
        <w:rPr>
          <w:rFonts w:hint="eastAsia" w:cs="宋体"/>
          <w:kern w:val="0"/>
        </w:rPr>
        <w:t>的澄清或者修改，下同</w:t>
      </w:r>
      <w:r>
        <w:rPr>
          <w:rFonts w:hint="eastAsia" w:cs="宋体"/>
        </w:rPr>
        <w:t>）的要求不同时，逐条列在偏离表中，否则将认为供应商接受询价文件的要求。</w:t>
      </w:r>
    </w:p>
    <w:p w14:paraId="7DAF23D4">
      <w:pPr>
        <w:spacing w:line="480" w:lineRule="exact"/>
        <w:ind w:firstLine="420"/>
        <w:rPr>
          <w:rFonts w:cs="宋体"/>
        </w:rPr>
      </w:pPr>
      <w:r>
        <w:rPr>
          <w:rFonts w:hint="eastAsia" w:cs="宋体"/>
        </w:rPr>
        <w:t xml:space="preserve">    2、如果没有偏离也需要按要求盖章或签字，并附在响应文件中，否则是为无效响应。</w:t>
      </w:r>
    </w:p>
    <w:p w14:paraId="769CA0BA">
      <w:pPr>
        <w:adjustRightInd w:val="0"/>
        <w:snapToGrid w:val="0"/>
        <w:spacing w:line="480" w:lineRule="exact"/>
        <w:ind w:right="34" w:rightChars="14" w:firstLine="3960" w:firstLineChars="1650"/>
        <w:rPr>
          <w:rFonts w:cs="宋体"/>
        </w:rPr>
      </w:pPr>
      <w:r>
        <w:rPr>
          <w:rFonts w:hint="eastAsia" w:cs="宋体"/>
        </w:rPr>
        <w:t>供应商（公章）：</w:t>
      </w:r>
    </w:p>
    <w:p w14:paraId="02406DB6">
      <w:pPr>
        <w:adjustRightInd w:val="0"/>
        <w:snapToGrid w:val="0"/>
        <w:spacing w:line="480" w:lineRule="exact"/>
        <w:ind w:right="34" w:rightChars="14" w:firstLine="3960" w:firstLineChars="1650"/>
        <w:rPr>
          <w:rFonts w:cs="宋体"/>
        </w:rPr>
      </w:pPr>
      <w:r>
        <w:rPr>
          <w:rFonts w:hint="eastAsia" w:cs="宋体"/>
        </w:rPr>
        <w:t xml:space="preserve">法定代表人或授权代表（签字或盖章）：  </w:t>
      </w:r>
    </w:p>
    <w:p w14:paraId="459DCB5D">
      <w:pPr>
        <w:adjustRightInd w:val="0"/>
        <w:snapToGrid w:val="0"/>
        <w:spacing w:line="480" w:lineRule="exact"/>
        <w:ind w:right="34" w:rightChars="14" w:firstLine="3960" w:firstLineChars="1650"/>
        <w:rPr>
          <w:rFonts w:cs="宋体"/>
        </w:rPr>
      </w:pPr>
      <w:r>
        <w:rPr>
          <w:rFonts w:hint="eastAsia" w:cs="宋体"/>
        </w:rPr>
        <w:t>日期：</w:t>
      </w:r>
    </w:p>
    <w:p w14:paraId="15CA2B63">
      <w:pPr>
        <w:pStyle w:val="2"/>
        <w:rPr>
          <w:rFonts w:ascii="宋体" w:hAnsi="宋体" w:eastAsia="宋体" w:cstheme="minorBidi"/>
          <w:b w:val="0"/>
          <w:bCs w:val="0"/>
          <w:sz w:val="24"/>
          <w:szCs w:val="28"/>
        </w:rPr>
      </w:pPr>
      <w:r>
        <w:rPr>
          <w:rFonts w:hint="eastAsia" w:ascii="宋体" w:hAnsi="宋体" w:eastAsia="宋体" w:cstheme="minorBidi"/>
          <w:b w:val="0"/>
          <w:bCs w:val="0"/>
          <w:sz w:val="24"/>
          <w:szCs w:val="28"/>
        </w:rPr>
        <w:t>附件5</w:t>
      </w:r>
    </w:p>
    <w:p w14:paraId="562D0F3E">
      <w:pPr>
        <w:pStyle w:val="2"/>
        <w:jc w:val="center"/>
        <w:rPr>
          <w:rFonts w:ascii="宋体" w:hAnsi="宋体" w:eastAsia="宋体" w:cs="宋体"/>
          <w:bCs w:val="0"/>
          <w:sz w:val="24"/>
          <w:szCs w:val="24"/>
        </w:rPr>
      </w:pPr>
      <w:r>
        <w:rPr>
          <w:rFonts w:hint="eastAsia" w:ascii="宋体" w:hAnsi="宋体" w:eastAsia="宋体" w:cs="宋体"/>
          <w:bCs w:val="0"/>
          <w:szCs w:val="28"/>
        </w:rPr>
        <w:t>供应商【含其分公司或其他分支机构（非独立法人）】未被列入失信被执行人、重大税收违法案件当事人名单、</w:t>
      </w:r>
      <w:r>
        <w:rPr>
          <w:rFonts w:hint="eastAsia" w:ascii="宋体" w:hAnsi="宋体" w:eastAsia="宋体" w:cs="宋体"/>
          <w:bCs w:val="0"/>
          <w:szCs w:val="28"/>
          <w:lang w:val="zh-CN"/>
        </w:rPr>
        <w:t>严重违法失信行为记录名单</w:t>
      </w:r>
      <w:r>
        <w:rPr>
          <w:rFonts w:hint="eastAsia" w:ascii="宋体" w:hAnsi="宋体" w:eastAsia="宋体" w:cs="宋体"/>
          <w:bCs w:val="0"/>
          <w:szCs w:val="28"/>
        </w:rPr>
        <w:t>的承诺书</w:t>
      </w:r>
    </w:p>
    <w:p w14:paraId="19AE9F02">
      <w:pPr>
        <w:ind w:firstLine="480" w:firstLineChars="200"/>
        <w:rPr>
          <w:rFonts w:cs="宋体"/>
          <w:u w:val="single"/>
        </w:rPr>
      </w:pPr>
      <w:r>
        <w:rPr>
          <w:rFonts w:hint="eastAsia" w:cs="宋体"/>
          <w:u w:val="single"/>
        </w:rPr>
        <w:t xml:space="preserve">                           </w:t>
      </w:r>
      <w:r>
        <w:rPr>
          <w:rFonts w:hint="eastAsia" w:cs="宋体"/>
        </w:rPr>
        <w:t>：</w:t>
      </w:r>
    </w:p>
    <w:p w14:paraId="5B16CF44">
      <w:pPr>
        <w:widowControl/>
        <w:ind w:firstLine="480" w:firstLineChars="200"/>
        <w:rPr>
          <w:rFonts w:cs="宋体"/>
        </w:rPr>
      </w:pPr>
      <w:r>
        <w:rPr>
          <w:rFonts w:hint="eastAsia" w:cs="宋体"/>
        </w:rPr>
        <w:t>我单位【含分公司或其他分支机构（非独立法人）】在参加（</w:t>
      </w:r>
      <w:r>
        <w:rPr>
          <w:rFonts w:hint="eastAsia" w:cs="宋体"/>
          <w:u w:val="single"/>
        </w:rPr>
        <w:t>中国矿业大学徐海学院校园基础设施建设项目（22#、23#、24#宿舍楼）基坑监测和沉降观测工程</w:t>
      </w:r>
      <w:r>
        <w:rPr>
          <w:rFonts w:hint="eastAsia" w:cs="宋体"/>
        </w:rPr>
        <w:t>）项目（项目编号:XYJS-CG</w:t>
      </w:r>
      <w:r>
        <w:rPr>
          <w:rFonts w:cs="宋体"/>
        </w:rPr>
        <w:t>XJ</w:t>
      </w:r>
      <w:r>
        <w:rPr>
          <w:rFonts w:hint="eastAsia" w:cs="宋体"/>
        </w:rPr>
        <w:t>-2026-</w:t>
      </w:r>
      <w:r>
        <w:rPr>
          <w:rFonts w:cs="宋体"/>
        </w:rPr>
        <w:t>0</w:t>
      </w:r>
      <w:r>
        <w:rPr>
          <w:rFonts w:hint="eastAsia" w:cs="宋体"/>
        </w:rPr>
        <w:t>2）采购活动，根据询价文件的规定郑重承诺如下：</w:t>
      </w:r>
    </w:p>
    <w:p w14:paraId="151A3EBE">
      <w:pPr>
        <w:widowControl/>
        <w:ind w:firstLine="480" w:firstLineChars="200"/>
        <w:rPr>
          <w:rFonts w:cs="宋体"/>
        </w:rPr>
      </w:pPr>
      <w:r>
        <w:rPr>
          <w:rFonts w:hint="eastAsia" w:cs="宋体"/>
        </w:rPr>
        <w:t>我单位【含分公司或其他分支机构（非独立法人）】未被“信用中国”网站列入失信被执行人、重大税收违法案件当事人名单、严重违法失信行为记录名单。</w:t>
      </w:r>
    </w:p>
    <w:p w14:paraId="2AE5CD1A">
      <w:pPr>
        <w:widowControl/>
        <w:ind w:firstLine="480" w:firstLineChars="200"/>
        <w:rPr>
          <w:rFonts w:cs="宋体"/>
        </w:rPr>
      </w:pPr>
      <w:r>
        <w:rPr>
          <w:rFonts w:hint="eastAsia" w:cs="宋体"/>
        </w:rPr>
        <w:t>我单位对上述声明的真实性负责。如有虚假，将依法承担相应责任。</w:t>
      </w:r>
    </w:p>
    <w:p w14:paraId="4CFA1C43">
      <w:pPr>
        <w:pStyle w:val="3"/>
        <w:overflowPunct w:val="0"/>
        <w:spacing w:line="400" w:lineRule="exact"/>
        <w:ind w:firstLine="480"/>
        <w:jc w:val="center"/>
        <w:rPr>
          <w:rFonts w:cs="宋体"/>
        </w:rPr>
      </w:pPr>
    </w:p>
    <w:p w14:paraId="321B0A8F">
      <w:pPr>
        <w:pStyle w:val="3"/>
        <w:overflowPunct w:val="0"/>
        <w:spacing w:line="400" w:lineRule="exact"/>
        <w:ind w:firstLine="480"/>
        <w:jc w:val="center"/>
        <w:rPr>
          <w:rFonts w:cs="宋体"/>
        </w:rPr>
      </w:pPr>
    </w:p>
    <w:p w14:paraId="5270F015">
      <w:pPr>
        <w:spacing w:line="400" w:lineRule="exact"/>
        <w:ind w:firstLine="3120" w:firstLineChars="1300"/>
        <w:rPr>
          <w:rFonts w:cs="宋体"/>
        </w:rPr>
      </w:pPr>
      <w:r>
        <w:rPr>
          <w:rFonts w:hint="eastAsia" w:cs="宋体"/>
        </w:rPr>
        <w:t>供应商：</w:t>
      </w:r>
      <w:r>
        <w:rPr>
          <w:rFonts w:hint="eastAsia" w:cs="宋体"/>
          <w:u w:val="single"/>
        </w:rPr>
        <w:t xml:space="preserve">           </w:t>
      </w:r>
      <w:r>
        <w:rPr>
          <w:rFonts w:hint="eastAsia" w:cs="宋体"/>
        </w:rPr>
        <w:t>（盖单位公章）</w:t>
      </w:r>
    </w:p>
    <w:p w14:paraId="51B73131">
      <w:pPr>
        <w:spacing w:line="400" w:lineRule="exact"/>
        <w:ind w:firstLine="480" w:firstLineChars="200"/>
        <w:rPr>
          <w:rFonts w:cs="宋体"/>
        </w:rPr>
      </w:pPr>
      <w:r>
        <w:rPr>
          <w:rFonts w:hint="eastAsia" w:cs="宋体"/>
        </w:rPr>
        <w:t xml:space="preserve">                      供应商授权代表：</w:t>
      </w:r>
      <w:r>
        <w:rPr>
          <w:rFonts w:hint="eastAsia" w:cs="宋体"/>
          <w:u w:val="single"/>
        </w:rPr>
        <w:t xml:space="preserve">           </w:t>
      </w:r>
      <w:r>
        <w:rPr>
          <w:rFonts w:hint="eastAsia" w:cs="宋体"/>
        </w:rPr>
        <w:t xml:space="preserve">（签字或盖章）  </w:t>
      </w:r>
    </w:p>
    <w:p w14:paraId="7BE6FD4A">
      <w:pPr>
        <w:spacing w:line="400" w:lineRule="exact"/>
        <w:ind w:firstLine="3120" w:firstLineChars="1300"/>
        <w:rPr>
          <w:rFonts w:cs="宋体"/>
        </w:rPr>
      </w:pPr>
      <w:r>
        <w:rPr>
          <w:rFonts w:hint="eastAsia" w:cs="宋体"/>
        </w:rPr>
        <w:t>日期：   年  月  日</w:t>
      </w:r>
    </w:p>
    <w:p w14:paraId="3BFAE9F7"/>
    <w:p w14:paraId="3C4D35F0"/>
    <w:p w14:paraId="5E57A0D4"/>
    <w:p w14:paraId="76C84187"/>
    <w:p w14:paraId="4EE53E7E"/>
    <w:p w14:paraId="5C3BE539"/>
    <w:p w14:paraId="28DD520E"/>
    <w:p w14:paraId="7CABF3CB"/>
    <w:p w14:paraId="73A7667D"/>
    <w:p w14:paraId="6D06DCAB"/>
    <w:p w14:paraId="4AF4BC59"/>
    <w:p w14:paraId="301363EF"/>
    <w:p w14:paraId="5046A12A"/>
    <w:p w14:paraId="1C340566">
      <w:r>
        <w:rPr>
          <w:rFonts w:hint="eastAsia"/>
        </w:rPr>
        <w:t xml:space="preserve">附件6 </w:t>
      </w:r>
    </w:p>
    <w:p w14:paraId="3B029850">
      <w:pPr>
        <w:ind w:firstLine="3213" w:firstLineChars="1000"/>
        <w:rPr>
          <w:sz w:val="28"/>
          <w:szCs w:val="28"/>
        </w:rPr>
      </w:pPr>
      <w:r>
        <w:rPr>
          <w:rFonts w:hint="eastAsia"/>
          <w:b/>
          <w:bCs/>
          <w:sz w:val="32"/>
          <w:szCs w:val="32"/>
        </w:rPr>
        <w:t>监测图纸（另附电子版）</w:t>
      </w:r>
    </w:p>
    <w:p w14:paraId="26C1DE38"/>
    <w:p w14:paraId="2C05EE84"/>
    <w:p w14:paraId="0A5E6802"/>
    <w:p w14:paraId="635635B3"/>
    <w:p w14:paraId="61D73DCA"/>
    <w:p w14:paraId="5504DB16"/>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945990"/>
    </w:sdtPr>
    <w:sdtContent>
      <w:p w14:paraId="394D982E">
        <w:pPr>
          <w:pStyle w:val="8"/>
          <w:jc w:val="center"/>
        </w:pPr>
        <w:r>
          <w:fldChar w:fldCharType="begin"/>
        </w:r>
        <w:r>
          <w:instrText xml:space="preserve">PAGE   \* MERGEFORMAT</w:instrText>
        </w:r>
        <w:r>
          <w:fldChar w:fldCharType="separate"/>
        </w:r>
        <w:r>
          <w:rPr>
            <w:lang w:val="zh-CN"/>
          </w:rPr>
          <w:t>2</w:t>
        </w:r>
        <w:r>
          <w:fldChar w:fldCharType="end"/>
        </w:r>
      </w:p>
    </w:sdtContent>
  </w:sdt>
  <w:p w14:paraId="32CE451F">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7847424"/>
      <w:showingPlcHdr/>
    </w:sdtPr>
    <w:sdtContent>
      <w:p w14:paraId="31D60F6C">
        <w:pPr>
          <w:pStyle w:val="8"/>
        </w:pPr>
        <w:r>
          <w:t xml:space="preserve">     </w:t>
        </w:r>
      </w:p>
    </w:sdtContent>
  </w:sdt>
  <w:p w14:paraId="7C1A7FC7">
    <w:pPr>
      <w:pStyle w:val="8"/>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CDEE3">
    <w:pPr>
      <w:pStyle w:val="10"/>
    </w:pPr>
    <w:r>
      <w:rPr>
        <w:rFonts w:hint="eastAsia"/>
      </w:rPr>
      <w:t>中国矿业大学徐海学院校园基础设施建设项目（22#、23#、24#宿舍楼）基坑监测和沉降观测工程询价文件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EBE22"/>
    <w:multiLevelType w:val="singleLevel"/>
    <w:tmpl w:val="82EEBE22"/>
    <w:lvl w:ilvl="0" w:tentative="0">
      <w:start w:val="1"/>
      <w:numFmt w:val="chineseCounting"/>
      <w:pStyle w:val="19"/>
      <w:suff w:val="nothing"/>
      <w:lvlText w:val="%1、"/>
      <w:lvlJc w:val="left"/>
      <w:rPr>
        <w:rFonts w:hint="eastAsia"/>
      </w:rPr>
    </w:lvl>
  </w:abstractNum>
  <w:abstractNum w:abstractNumId="1">
    <w:nsid w:val="E7137DCC"/>
    <w:multiLevelType w:val="singleLevel"/>
    <w:tmpl w:val="E7137DC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OTEyMmZlZWExMWYxMmRlN2M1ZTg0ZWM1NmU4NTIifQ=="/>
  </w:docVars>
  <w:rsids>
    <w:rsidRoot w:val="00B378FC"/>
    <w:rsid w:val="000031FE"/>
    <w:rsid w:val="0000788F"/>
    <w:rsid w:val="000157D6"/>
    <w:rsid w:val="0002745B"/>
    <w:rsid w:val="00035FCB"/>
    <w:rsid w:val="00037DD2"/>
    <w:rsid w:val="00042DF0"/>
    <w:rsid w:val="00085793"/>
    <w:rsid w:val="000942B7"/>
    <w:rsid w:val="00095CF4"/>
    <w:rsid w:val="000D29AC"/>
    <w:rsid w:val="000D7A25"/>
    <w:rsid w:val="00116DCF"/>
    <w:rsid w:val="00125833"/>
    <w:rsid w:val="00141401"/>
    <w:rsid w:val="0015284F"/>
    <w:rsid w:val="00152BC8"/>
    <w:rsid w:val="00167B7D"/>
    <w:rsid w:val="00173F8C"/>
    <w:rsid w:val="00180413"/>
    <w:rsid w:val="00192B7D"/>
    <w:rsid w:val="00193AD0"/>
    <w:rsid w:val="00194928"/>
    <w:rsid w:val="001A16D3"/>
    <w:rsid w:val="001A5F41"/>
    <w:rsid w:val="001A64C4"/>
    <w:rsid w:val="001A6636"/>
    <w:rsid w:val="001C493B"/>
    <w:rsid w:val="001E3B23"/>
    <w:rsid w:val="001F6900"/>
    <w:rsid w:val="00200466"/>
    <w:rsid w:val="002142C5"/>
    <w:rsid w:val="00220F80"/>
    <w:rsid w:val="002255CB"/>
    <w:rsid w:val="00244AAF"/>
    <w:rsid w:val="00252B0B"/>
    <w:rsid w:val="00255C4F"/>
    <w:rsid w:val="00284E09"/>
    <w:rsid w:val="002A1C0A"/>
    <w:rsid w:val="002B7CA0"/>
    <w:rsid w:val="002C1C49"/>
    <w:rsid w:val="002C4637"/>
    <w:rsid w:val="002D2EA4"/>
    <w:rsid w:val="002D6DC5"/>
    <w:rsid w:val="00323E7C"/>
    <w:rsid w:val="0032517A"/>
    <w:rsid w:val="00357B2A"/>
    <w:rsid w:val="00361758"/>
    <w:rsid w:val="003743FF"/>
    <w:rsid w:val="0037615B"/>
    <w:rsid w:val="00384D15"/>
    <w:rsid w:val="003A150D"/>
    <w:rsid w:val="003B1D31"/>
    <w:rsid w:val="003B1DDA"/>
    <w:rsid w:val="003B2355"/>
    <w:rsid w:val="003C76C4"/>
    <w:rsid w:val="003E53AA"/>
    <w:rsid w:val="003F1310"/>
    <w:rsid w:val="003F6923"/>
    <w:rsid w:val="00416DCB"/>
    <w:rsid w:val="004240BE"/>
    <w:rsid w:val="004248A8"/>
    <w:rsid w:val="004347D3"/>
    <w:rsid w:val="00434E94"/>
    <w:rsid w:val="00435AF6"/>
    <w:rsid w:val="00440920"/>
    <w:rsid w:val="00445AD2"/>
    <w:rsid w:val="00447FFB"/>
    <w:rsid w:val="004549C0"/>
    <w:rsid w:val="00496125"/>
    <w:rsid w:val="0049668F"/>
    <w:rsid w:val="004C072F"/>
    <w:rsid w:val="004C5DBB"/>
    <w:rsid w:val="004C77AD"/>
    <w:rsid w:val="004D1B2F"/>
    <w:rsid w:val="00500C9C"/>
    <w:rsid w:val="00515034"/>
    <w:rsid w:val="005233C1"/>
    <w:rsid w:val="0054254D"/>
    <w:rsid w:val="00550B32"/>
    <w:rsid w:val="0055234A"/>
    <w:rsid w:val="00553B28"/>
    <w:rsid w:val="00561131"/>
    <w:rsid w:val="00580E1F"/>
    <w:rsid w:val="005A463E"/>
    <w:rsid w:val="005C15E0"/>
    <w:rsid w:val="005D40C1"/>
    <w:rsid w:val="005F154E"/>
    <w:rsid w:val="005F1F62"/>
    <w:rsid w:val="005F2705"/>
    <w:rsid w:val="005F30DA"/>
    <w:rsid w:val="00607D88"/>
    <w:rsid w:val="00614994"/>
    <w:rsid w:val="006149AF"/>
    <w:rsid w:val="0062473E"/>
    <w:rsid w:val="00626307"/>
    <w:rsid w:val="00641C0C"/>
    <w:rsid w:val="00660944"/>
    <w:rsid w:val="0068111B"/>
    <w:rsid w:val="006A5847"/>
    <w:rsid w:val="006B217A"/>
    <w:rsid w:val="006B2D90"/>
    <w:rsid w:val="006B5F08"/>
    <w:rsid w:val="006C047F"/>
    <w:rsid w:val="006D188F"/>
    <w:rsid w:val="006D2357"/>
    <w:rsid w:val="0070725E"/>
    <w:rsid w:val="00716D88"/>
    <w:rsid w:val="0072299A"/>
    <w:rsid w:val="007236FF"/>
    <w:rsid w:val="00725DAD"/>
    <w:rsid w:val="00736042"/>
    <w:rsid w:val="00736F76"/>
    <w:rsid w:val="007370C9"/>
    <w:rsid w:val="00755B1F"/>
    <w:rsid w:val="00756F75"/>
    <w:rsid w:val="00762111"/>
    <w:rsid w:val="007623E7"/>
    <w:rsid w:val="0077562B"/>
    <w:rsid w:val="00790309"/>
    <w:rsid w:val="0079748E"/>
    <w:rsid w:val="007B36F6"/>
    <w:rsid w:val="007B5CA9"/>
    <w:rsid w:val="007C1076"/>
    <w:rsid w:val="007C3C62"/>
    <w:rsid w:val="007C59EB"/>
    <w:rsid w:val="007D6D5C"/>
    <w:rsid w:val="007E1386"/>
    <w:rsid w:val="007E2D0B"/>
    <w:rsid w:val="007E3950"/>
    <w:rsid w:val="008036D9"/>
    <w:rsid w:val="00804039"/>
    <w:rsid w:val="00811722"/>
    <w:rsid w:val="0081177D"/>
    <w:rsid w:val="00824827"/>
    <w:rsid w:val="00840138"/>
    <w:rsid w:val="0086540A"/>
    <w:rsid w:val="00866AA8"/>
    <w:rsid w:val="0088792B"/>
    <w:rsid w:val="0089003C"/>
    <w:rsid w:val="00892CB7"/>
    <w:rsid w:val="008938F8"/>
    <w:rsid w:val="00896971"/>
    <w:rsid w:val="008B3D03"/>
    <w:rsid w:val="008C64EE"/>
    <w:rsid w:val="008D43B8"/>
    <w:rsid w:val="008E0E04"/>
    <w:rsid w:val="008E729F"/>
    <w:rsid w:val="009071FA"/>
    <w:rsid w:val="00920DF1"/>
    <w:rsid w:val="00921CE8"/>
    <w:rsid w:val="009317C5"/>
    <w:rsid w:val="00944532"/>
    <w:rsid w:val="009706E8"/>
    <w:rsid w:val="00975A77"/>
    <w:rsid w:val="0098175E"/>
    <w:rsid w:val="00985AE4"/>
    <w:rsid w:val="00996CA9"/>
    <w:rsid w:val="009B73F9"/>
    <w:rsid w:val="009C470A"/>
    <w:rsid w:val="009D04FC"/>
    <w:rsid w:val="009E4552"/>
    <w:rsid w:val="009F061D"/>
    <w:rsid w:val="00A06F98"/>
    <w:rsid w:val="00A11A9D"/>
    <w:rsid w:val="00A13696"/>
    <w:rsid w:val="00A177A7"/>
    <w:rsid w:val="00A35B0E"/>
    <w:rsid w:val="00A43683"/>
    <w:rsid w:val="00A439E5"/>
    <w:rsid w:val="00A45DEC"/>
    <w:rsid w:val="00A54990"/>
    <w:rsid w:val="00A62435"/>
    <w:rsid w:val="00A64C6B"/>
    <w:rsid w:val="00A725C2"/>
    <w:rsid w:val="00A72F57"/>
    <w:rsid w:val="00A74BE7"/>
    <w:rsid w:val="00A8320F"/>
    <w:rsid w:val="00AA3DC5"/>
    <w:rsid w:val="00AA5322"/>
    <w:rsid w:val="00AC2312"/>
    <w:rsid w:val="00AD17EC"/>
    <w:rsid w:val="00AE0813"/>
    <w:rsid w:val="00AE2B3B"/>
    <w:rsid w:val="00AF0951"/>
    <w:rsid w:val="00AF556B"/>
    <w:rsid w:val="00AF74E5"/>
    <w:rsid w:val="00AF7B1C"/>
    <w:rsid w:val="00B203B0"/>
    <w:rsid w:val="00B21CB7"/>
    <w:rsid w:val="00B303AA"/>
    <w:rsid w:val="00B350B9"/>
    <w:rsid w:val="00B378FC"/>
    <w:rsid w:val="00B648B5"/>
    <w:rsid w:val="00B76AF8"/>
    <w:rsid w:val="00B808BD"/>
    <w:rsid w:val="00B81916"/>
    <w:rsid w:val="00B860E6"/>
    <w:rsid w:val="00B93080"/>
    <w:rsid w:val="00B95FEB"/>
    <w:rsid w:val="00BB69B9"/>
    <w:rsid w:val="00BC5F8B"/>
    <w:rsid w:val="00BC7AB6"/>
    <w:rsid w:val="00BD089E"/>
    <w:rsid w:val="00BE2085"/>
    <w:rsid w:val="00BE7CD1"/>
    <w:rsid w:val="00C172E1"/>
    <w:rsid w:val="00C1746F"/>
    <w:rsid w:val="00C21F54"/>
    <w:rsid w:val="00C220BF"/>
    <w:rsid w:val="00C4152C"/>
    <w:rsid w:val="00C5492F"/>
    <w:rsid w:val="00C70C11"/>
    <w:rsid w:val="00C7781B"/>
    <w:rsid w:val="00C969A4"/>
    <w:rsid w:val="00CA4F56"/>
    <w:rsid w:val="00CB2433"/>
    <w:rsid w:val="00CB2C12"/>
    <w:rsid w:val="00CD2204"/>
    <w:rsid w:val="00CD5B68"/>
    <w:rsid w:val="00CD5F92"/>
    <w:rsid w:val="00CE764F"/>
    <w:rsid w:val="00CF468A"/>
    <w:rsid w:val="00D01D62"/>
    <w:rsid w:val="00D04993"/>
    <w:rsid w:val="00D128C1"/>
    <w:rsid w:val="00D16C42"/>
    <w:rsid w:val="00D2318C"/>
    <w:rsid w:val="00D24600"/>
    <w:rsid w:val="00D54997"/>
    <w:rsid w:val="00D74402"/>
    <w:rsid w:val="00D80CEC"/>
    <w:rsid w:val="00D84532"/>
    <w:rsid w:val="00D925B2"/>
    <w:rsid w:val="00D92701"/>
    <w:rsid w:val="00DA28EE"/>
    <w:rsid w:val="00DA51FC"/>
    <w:rsid w:val="00DB77BA"/>
    <w:rsid w:val="00DD052F"/>
    <w:rsid w:val="00DD0DC1"/>
    <w:rsid w:val="00DE3995"/>
    <w:rsid w:val="00DF0BA5"/>
    <w:rsid w:val="00DF227F"/>
    <w:rsid w:val="00E02F25"/>
    <w:rsid w:val="00E05621"/>
    <w:rsid w:val="00E061A0"/>
    <w:rsid w:val="00E068CB"/>
    <w:rsid w:val="00E2694A"/>
    <w:rsid w:val="00E41B82"/>
    <w:rsid w:val="00E42490"/>
    <w:rsid w:val="00E46872"/>
    <w:rsid w:val="00E4692F"/>
    <w:rsid w:val="00E514BD"/>
    <w:rsid w:val="00E64C89"/>
    <w:rsid w:val="00E673D0"/>
    <w:rsid w:val="00EB40AB"/>
    <w:rsid w:val="00EC5F4E"/>
    <w:rsid w:val="00ED6092"/>
    <w:rsid w:val="00ED627A"/>
    <w:rsid w:val="00F1344B"/>
    <w:rsid w:val="00F24110"/>
    <w:rsid w:val="00F34D19"/>
    <w:rsid w:val="00F36B68"/>
    <w:rsid w:val="00F475BC"/>
    <w:rsid w:val="00F65145"/>
    <w:rsid w:val="00F76A3C"/>
    <w:rsid w:val="00F96466"/>
    <w:rsid w:val="00FA033F"/>
    <w:rsid w:val="00FA40C9"/>
    <w:rsid w:val="00FA604D"/>
    <w:rsid w:val="00FA66D8"/>
    <w:rsid w:val="00FB2E97"/>
    <w:rsid w:val="00FB6382"/>
    <w:rsid w:val="00FC36FF"/>
    <w:rsid w:val="00FD0FC2"/>
    <w:rsid w:val="00FD1CF9"/>
    <w:rsid w:val="00FD492B"/>
    <w:rsid w:val="00FE23BC"/>
    <w:rsid w:val="01EF38C0"/>
    <w:rsid w:val="01F62F61"/>
    <w:rsid w:val="01FA47FF"/>
    <w:rsid w:val="02C95F7F"/>
    <w:rsid w:val="03062D2F"/>
    <w:rsid w:val="0341645D"/>
    <w:rsid w:val="036E41CD"/>
    <w:rsid w:val="037759DB"/>
    <w:rsid w:val="037E320E"/>
    <w:rsid w:val="039119BF"/>
    <w:rsid w:val="03A10CAA"/>
    <w:rsid w:val="03B57E38"/>
    <w:rsid w:val="03C52BEB"/>
    <w:rsid w:val="03EA6449"/>
    <w:rsid w:val="03F1578E"/>
    <w:rsid w:val="04391BFD"/>
    <w:rsid w:val="04421C33"/>
    <w:rsid w:val="044955CA"/>
    <w:rsid w:val="04F15AD1"/>
    <w:rsid w:val="05CE4D44"/>
    <w:rsid w:val="05E03D0C"/>
    <w:rsid w:val="05FE0636"/>
    <w:rsid w:val="0640181E"/>
    <w:rsid w:val="06412167"/>
    <w:rsid w:val="069C6231"/>
    <w:rsid w:val="06E0335F"/>
    <w:rsid w:val="07464042"/>
    <w:rsid w:val="07886409"/>
    <w:rsid w:val="07F10EE9"/>
    <w:rsid w:val="0851632E"/>
    <w:rsid w:val="085B1D6F"/>
    <w:rsid w:val="087A479B"/>
    <w:rsid w:val="08C276F9"/>
    <w:rsid w:val="08D96F67"/>
    <w:rsid w:val="08E47CBD"/>
    <w:rsid w:val="08EB5C99"/>
    <w:rsid w:val="09063A89"/>
    <w:rsid w:val="09473CE2"/>
    <w:rsid w:val="09595A6C"/>
    <w:rsid w:val="09B07E99"/>
    <w:rsid w:val="09E052C7"/>
    <w:rsid w:val="09E85885"/>
    <w:rsid w:val="09F63AFE"/>
    <w:rsid w:val="0A2C03E0"/>
    <w:rsid w:val="0A2D3298"/>
    <w:rsid w:val="0A746B6C"/>
    <w:rsid w:val="0A775F0C"/>
    <w:rsid w:val="0B243944"/>
    <w:rsid w:val="0B370D50"/>
    <w:rsid w:val="0B4E1717"/>
    <w:rsid w:val="0B7C0033"/>
    <w:rsid w:val="0BA25F56"/>
    <w:rsid w:val="0BAD1BD9"/>
    <w:rsid w:val="0BC8669E"/>
    <w:rsid w:val="0BD40F69"/>
    <w:rsid w:val="0BDE35D8"/>
    <w:rsid w:val="0BFE313E"/>
    <w:rsid w:val="0C4A3913"/>
    <w:rsid w:val="0C9615C8"/>
    <w:rsid w:val="0C9F66CF"/>
    <w:rsid w:val="0CD753EE"/>
    <w:rsid w:val="0D1A3FA7"/>
    <w:rsid w:val="0D2D5F3C"/>
    <w:rsid w:val="0D365943"/>
    <w:rsid w:val="0D5E3DDF"/>
    <w:rsid w:val="0D9A0C44"/>
    <w:rsid w:val="0DC363ED"/>
    <w:rsid w:val="0DCE6B40"/>
    <w:rsid w:val="0DD57FD4"/>
    <w:rsid w:val="0DD85B76"/>
    <w:rsid w:val="0DDA54E4"/>
    <w:rsid w:val="0E227B42"/>
    <w:rsid w:val="0EAF4BC3"/>
    <w:rsid w:val="0EB000FC"/>
    <w:rsid w:val="0F1B1158"/>
    <w:rsid w:val="0F2C7FC2"/>
    <w:rsid w:val="0F2E5AE8"/>
    <w:rsid w:val="0F4A0448"/>
    <w:rsid w:val="0FBD0C1A"/>
    <w:rsid w:val="0FCD5369"/>
    <w:rsid w:val="10505F32"/>
    <w:rsid w:val="10596B94"/>
    <w:rsid w:val="10737FF7"/>
    <w:rsid w:val="10993435"/>
    <w:rsid w:val="10BB33AB"/>
    <w:rsid w:val="114B525B"/>
    <w:rsid w:val="11807584"/>
    <w:rsid w:val="119F5E4B"/>
    <w:rsid w:val="11E13BB2"/>
    <w:rsid w:val="12074284"/>
    <w:rsid w:val="121536FF"/>
    <w:rsid w:val="121F3E0E"/>
    <w:rsid w:val="122D61C5"/>
    <w:rsid w:val="125C155C"/>
    <w:rsid w:val="126D6927"/>
    <w:rsid w:val="12810624"/>
    <w:rsid w:val="12F2507E"/>
    <w:rsid w:val="138245D9"/>
    <w:rsid w:val="13826402"/>
    <w:rsid w:val="13B3226E"/>
    <w:rsid w:val="13DD5D2E"/>
    <w:rsid w:val="13F22D4B"/>
    <w:rsid w:val="146F4532"/>
    <w:rsid w:val="14885C9A"/>
    <w:rsid w:val="14E76398"/>
    <w:rsid w:val="15497959"/>
    <w:rsid w:val="15700B8E"/>
    <w:rsid w:val="15CB1C08"/>
    <w:rsid w:val="15D05B4B"/>
    <w:rsid w:val="160144A3"/>
    <w:rsid w:val="16220FB0"/>
    <w:rsid w:val="162E60EA"/>
    <w:rsid w:val="167F30CD"/>
    <w:rsid w:val="16A36DBB"/>
    <w:rsid w:val="16FC64CC"/>
    <w:rsid w:val="17244FE3"/>
    <w:rsid w:val="175977D3"/>
    <w:rsid w:val="177769E2"/>
    <w:rsid w:val="17824C23"/>
    <w:rsid w:val="178766DD"/>
    <w:rsid w:val="17E73369"/>
    <w:rsid w:val="18702CCD"/>
    <w:rsid w:val="188449CB"/>
    <w:rsid w:val="18927FAF"/>
    <w:rsid w:val="19031D93"/>
    <w:rsid w:val="192D0557"/>
    <w:rsid w:val="192F0DDA"/>
    <w:rsid w:val="194913DE"/>
    <w:rsid w:val="19510D51"/>
    <w:rsid w:val="199944A6"/>
    <w:rsid w:val="199D3F96"/>
    <w:rsid w:val="19A1335A"/>
    <w:rsid w:val="19A47EFE"/>
    <w:rsid w:val="19FD7388"/>
    <w:rsid w:val="1A0B72AF"/>
    <w:rsid w:val="1A141D7E"/>
    <w:rsid w:val="1A381F10"/>
    <w:rsid w:val="1ABC669E"/>
    <w:rsid w:val="1ACB28BB"/>
    <w:rsid w:val="1AD5775F"/>
    <w:rsid w:val="1B0B3181"/>
    <w:rsid w:val="1B1C6F45"/>
    <w:rsid w:val="1BE30E25"/>
    <w:rsid w:val="1C2344FA"/>
    <w:rsid w:val="1C44694B"/>
    <w:rsid w:val="1C822555"/>
    <w:rsid w:val="1CBE3199"/>
    <w:rsid w:val="1CD221A8"/>
    <w:rsid w:val="1CFD2F9D"/>
    <w:rsid w:val="1CFF3ED8"/>
    <w:rsid w:val="1D1D719C"/>
    <w:rsid w:val="1D56725D"/>
    <w:rsid w:val="1D9C27B6"/>
    <w:rsid w:val="1DB16262"/>
    <w:rsid w:val="1DB200ED"/>
    <w:rsid w:val="1DE17229"/>
    <w:rsid w:val="1E0F46B9"/>
    <w:rsid w:val="1E7B061E"/>
    <w:rsid w:val="1EA57449"/>
    <w:rsid w:val="1EAE27A1"/>
    <w:rsid w:val="1F071EB1"/>
    <w:rsid w:val="1F0F2D53"/>
    <w:rsid w:val="1F150A69"/>
    <w:rsid w:val="1F294332"/>
    <w:rsid w:val="1F576995"/>
    <w:rsid w:val="1F9B55EC"/>
    <w:rsid w:val="1F9C6A9E"/>
    <w:rsid w:val="1FD32320"/>
    <w:rsid w:val="20191E9C"/>
    <w:rsid w:val="202A22FB"/>
    <w:rsid w:val="2047797F"/>
    <w:rsid w:val="20523600"/>
    <w:rsid w:val="20560211"/>
    <w:rsid w:val="206E043A"/>
    <w:rsid w:val="20C46571"/>
    <w:rsid w:val="20EC5803"/>
    <w:rsid w:val="20F402B8"/>
    <w:rsid w:val="21051C71"/>
    <w:rsid w:val="210E5779"/>
    <w:rsid w:val="212121C1"/>
    <w:rsid w:val="21B46321"/>
    <w:rsid w:val="221040FE"/>
    <w:rsid w:val="22151481"/>
    <w:rsid w:val="22350AE4"/>
    <w:rsid w:val="22372B2D"/>
    <w:rsid w:val="2279636B"/>
    <w:rsid w:val="23017B20"/>
    <w:rsid w:val="231352C9"/>
    <w:rsid w:val="232F19D7"/>
    <w:rsid w:val="2358717F"/>
    <w:rsid w:val="239C52BE"/>
    <w:rsid w:val="239D1C07"/>
    <w:rsid w:val="23E21113"/>
    <w:rsid w:val="23E50F1F"/>
    <w:rsid w:val="23F073B8"/>
    <w:rsid w:val="23FA1FE5"/>
    <w:rsid w:val="24685380"/>
    <w:rsid w:val="24AC1206"/>
    <w:rsid w:val="24D40A88"/>
    <w:rsid w:val="24D46CDA"/>
    <w:rsid w:val="250E5D48"/>
    <w:rsid w:val="251B2213"/>
    <w:rsid w:val="25423C43"/>
    <w:rsid w:val="255F47F5"/>
    <w:rsid w:val="258E6E89"/>
    <w:rsid w:val="25CB19DA"/>
    <w:rsid w:val="266B4318"/>
    <w:rsid w:val="26A00BFC"/>
    <w:rsid w:val="26C2534E"/>
    <w:rsid w:val="26D338AA"/>
    <w:rsid w:val="271B474C"/>
    <w:rsid w:val="2729283D"/>
    <w:rsid w:val="274F2647"/>
    <w:rsid w:val="275B2D9A"/>
    <w:rsid w:val="27C9064C"/>
    <w:rsid w:val="27E67E84"/>
    <w:rsid w:val="27E92A9C"/>
    <w:rsid w:val="27F97B7A"/>
    <w:rsid w:val="285568C3"/>
    <w:rsid w:val="28612632"/>
    <w:rsid w:val="28D41056"/>
    <w:rsid w:val="29422464"/>
    <w:rsid w:val="29521CEB"/>
    <w:rsid w:val="295D65A9"/>
    <w:rsid w:val="296F0F7B"/>
    <w:rsid w:val="297840D8"/>
    <w:rsid w:val="29A0362E"/>
    <w:rsid w:val="29F319B0"/>
    <w:rsid w:val="2A0F57FC"/>
    <w:rsid w:val="2A6B463B"/>
    <w:rsid w:val="2AC944BF"/>
    <w:rsid w:val="2B0B4AD7"/>
    <w:rsid w:val="2B2F6FB4"/>
    <w:rsid w:val="2B632B65"/>
    <w:rsid w:val="2B6761B2"/>
    <w:rsid w:val="2B7408CF"/>
    <w:rsid w:val="2BA27149"/>
    <w:rsid w:val="2BDD6474"/>
    <w:rsid w:val="2C555D4A"/>
    <w:rsid w:val="2C695F59"/>
    <w:rsid w:val="2C99172D"/>
    <w:rsid w:val="2CD31625"/>
    <w:rsid w:val="2D401D7D"/>
    <w:rsid w:val="2D5409B8"/>
    <w:rsid w:val="2E586286"/>
    <w:rsid w:val="2E5D389C"/>
    <w:rsid w:val="2E6536FA"/>
    <w:rsid w:val="2E666BF4"/>
    <w:rsid w:val="2EE51598"/>
    <w:rsid w:val="2F364819"/>
    <w:rsid w:val="2F464330"/>
    <w:rsid w:val="2FB45A2C"/>
    <w:rsid w:val="2FBD0A96"/>
    <w:rsid w:val="2FBE65BC"/>
    <w:rsid w:val="2FDD2EE6"/>
    <w:rsid w:val="300C7328"/>
    <w:rsid w:val="301937F3"/>
    <w:rsid w:val="302A1FA7"/>
    <w:rsid w:val="308905E0"/>
    <w:rsid w:val="30A819CC"/>
    <w:rsid w:val="30A85FDA"/>
    <w:rsid w:val="30C145B6"/>
    <w:rsid w:val="30CA72FD"/>
    <w:rsid w:val="30E3452C"/>
    <w:rsid w:val="310821E5"/>
    <w:rsid w:val="31230DCD"/>
    <w:rsid w:val="31AA6DF8"/>
    <w:rsid w:val="31CE04BB"/>
    <w:rsid w:val="323F1D96"/>
    <w:rsid w:val="32463F4C"/>
    <w:rsid w:val="328E671A"/>
    <w:rsid w:val="32BB0F2E"/>
    <w:rsid w:val="32C20D47"/>
    <w:rsid w:val="32D06266"/>
    <w:rsid w:val="33030EB6"/>
    <w:rsid w:val="331C5DE8"/>
    <w:rsid w:val="335177AB"/>
    <w:rsid w:val="33883169"/>
    <w:rsid w:val="34A75871"/>
    <w:rsid w:val="34B166F0"/>
    <w:rsid w:val="34B306BA"/>
    <w:rsid w:val="34C9681F"/>
    <w:rsid w:val="34D07801"/>
    <w:rsid w:val="34E20370"/>
    <w:rsid w:val="35353D4F"/>
    <w:rsid w:val="35683197"/>
    <w:rsid w:val="35807D07"/>
    <w:rsid w:val="358A15DB"/>
    <w:rsid w:val="35C11842"/>
    <w:rsid w:val="35DE3514"/>
    <w:rsid w:val="35EF4DD6"/>
    <w:rsid w:val="361C228F"/>
    <w:rsid w:val="36212E8F"/>
    <w:rsid w:val="363D46DF"/>
    <w:rsid w:val="36F20F1F"/>
    <w:rsid w:val="370A20E7"/>
    <w:rsid w:val="372431A9"/>
    <w:rsid w:val="37270EEB"/>
    <w:rsid w:val="376B0DD8"/>
    <w:rsid w:val="37A95DA4"/>
    <w:rsid w:val="37B24C58"/>
    <w:rsid w:val="37B85359"/>
    <w:rsid w:val="37E07A46"/>
    <w:rsid w:val="37E868CC"/>
    <w:rsid w:val="37EB016A"/>
    <w:rsid w:val="37F06328"/>
    <w:rsid w:val="38471845"/>
    <w:rsid w:val="38E057F5"/>
    <w:rsid w:val="38E54BBA"/>
    <w:rsid w:val="38F716E9"/>
    <w:rsid w:val="3914549F"/>
    <w:rsid w:val="392F090F"/>
    <w:rsid w:val="397C3770"/>
    <w:rsid w:val="39873EC3"/>
    <w:rsid w:val="399F56D1"/>
    <w:rsid w:val="39B45875"/>
    <w:rsid w:val="39B628E9"/>
    <w:rsid w:val="39C12F31"/>
    <w:rsid w:val="39E4662F"/>
    <w:rsid w:val="3A4D14B3"/>
    <w:rsid w:val="3A712BA9"/>
    <w:rsid w:val="3A775CE5"/>
    <w:rsid w:val="3A9759BF"/>
    <w:rsid w:val="3AD55AFF"/>
    <w:rsid w:val="3AE25855"/>
    <w:rsid w:val="3B141786"/>
    <w:rsid w:val="3BF515B8"/>
    <w:rsid w:val="3C3F394C"/>
    <w:rsid w:val="3C987D7C"/>
    <w:rsid w:val="3CBE1C6F"/>
    <w:rsid w:val="3D0C7EE5"/>
    <w:rsid w:val="3D333894"/>
    <w:rsid w:val="3DC44FD1"/>
    <w:rsid w:val="3DDE1D1E"/>
    <w:rsid w:val="3DEC2546"/>
    <w:rsid w:val="3E145936"/>
    <w:rsid w:val="3E3E7246"/>
    <w:rsid w:val="3E6532EA"/>
    <w:rsid w:val="3EC51715"/>
    <w:rsid w:val="3ED875A5"/>
    <w:rsid w:val="3F19020E"/>
    <w:rsid w:val="3F285C7B"/>
    <w:rsid w:val="3F7D3D9E"/>
    <w:rsid w:val="3FAA090B"/>
    <w:rsid w:val="3FCE63A8"/>
    <w:rsid w:val="3FD02685"/>
    <w:rsid w:val="3FE45BCB"/>
    <w:rsid w:val="3FF5663E"/>
    <w:rsid w:val="40267F92"/>
    <w:rsid w:val="40E75EAD"/>
    <w:rsid w:val="40EA7211"/>
    <w:rsid w:val="410A1661"/>
    <w:rsid w:val="412F61CE"/>
    <w:rsid w:val="413D3239"/>
    <w:rsid w:val="414C1C7A"/>
    <w:rsid w:val="415154E2"/>
    <w:rsid w:val="41526B64"/>
    <w:rsid w:val="415820EB"/>
    <w:rsid w:val="4190153B"/>
    <w:rsid w:val="4212189B"/>
    <w:rsid w:val="421D7172"/>
    <w:rsid w:val="422B7AE1"/>
    <w:rsid w:val="42660B19"/>
    <w:rsid w:val="427F1BDB"/>
    <w:rsid w:val="429F402B"/>
    <w:rsid w:val="42B63B0E"/>
    <w:rsid w:val="42C52901"/>
    <w:rsid w:val="42DD6902"/>
    <w:rsid w:val="431B6011"/>
    <w:rsid w:val="432C652E"/>
    <w:rsid w:val="433D457C"/>
    <w:rsid w:val="43A655D4"/>
    <w:rsid w:val="43B3472F"/>
    <w:rsid w:val="43B90147"/>
    <w:rsid w:val="442962A2"/>
    <w:rsid w:val="443D3AFC"/>
    <w:rsid w:val="44896D41"/>
    <w:rsid w:val="44AB6CB7"/>
    <w:rsid w:val="453F38A4"/>
    <w:rsid w:val="45440EBA"/>
    <w:rsid w:val="45A007E6"/>
    <w:rsid w:val="45EC3A2B"/>
    <w:rsid w:val="462E5DF2"/>
    <w:rsid w:val="464161C8"/>
    <w:rsid w:val="465518B7"/>
    <w:rsid w:val="46582E6F"/>
    <w:rsid w:val="46F22D09"/>
    <w:rsid w:val="46F506BE"/>
    <w:rsid w:val="46F87BA3"/>
    <w:rsid w:val="471548BC"/>
    <w:rsid w:val="475F022D"/>
    <w:rsid w:val="47644F30"/>
    <w:rsid w:val="47AD69D5"/>
    <w:rsid w:val="47E50732"/>
    <w:rsid w:val="48054931"/>
    <w:rsid w:val="488E2B78"/>
    <w:rsid w:val="489C55C1"/>
    <w:rsid w:val="48C742DC"/>
    <w:rsid w:val="49667651"/>
    <w:rsid w:val="49AE2F15"/>
    <w:rsid w:val="49DF2ACC"/>
    <w:rsid w:val="49EE407D"/>
    <w:rsid w:val="4A0B2A82"/>
    <w:rsid w:val="4A28470C"/>
    <w:rsid w:val="4A4D25BF"/>
    <w:rsid w:val="4A5E5EA3"/>
    <w:rsid w:val="4A653DAC"/>
    <w:rsid w:val="4A6C0C97"/>
    <w:rsid w:val="4A712751"/>
    <w:rsid w:val="4A86536C"/>
    <w:rsid w:val="4AAA6A80"/>
    <w:rsid w:val="4AB16FF2"/>
    <w:rsid w:val="4AC62A9D"/>
    <w:rsid w:val="4AEE3DA2"/>
    <w:rsid w:val="4AF84C20"/>
    <w:rsid w:val="4B575AE6"/>
    <w:rsid w:val="4B6D116B"/>
    <w:rsid w:val="4B9A1834"/>
    <w:rsid w:val="4C1E06B7"/>
    <w:rsid w:val="4C45481B"/>
    <w:rsid w:val="4C523EBC"/>
    <w:rsid w:val="4CD30C10"/>
    <w:rsid w:val="4CE216E4"/>
    <w:rsid w:val="4D237CD5"/>
    <w:rsid w:val="4D565C2E"/>
    <w:rsid w:val="4D987FF5"/>
    <w:rsid w:val="4DAC13C8"/>
    <w:rsid w:val="4DDB1310"/>
    <w:rsid w:val="4DDC25D7"/>
    <w:rsid w:val="4E0B59A7"/>
    <w:rsid w:val="4E257ADB"/>
    <w:rsid w:val="4E3566E4"/>
    <w:rsid w:val="4E4734D4"/>
    <w:rsid w:val="4E791BD4"/>
    <w:rsid w:val="4ECE1328"/>
    <w:rsid w:val="4EF92D15"/>
    <w:rsid w:val="4F0E67C1"/>
    <w:rsid w:val="4F1C63AF"/>
    <w:rsid w:val="4F245FE4"/>
    <w:rsid w:val="4F6A776F"/>
    <w:rsid w:val="4F7F146C"/>
    <w:rsid w:val="4F806F93"/>
    <w:rsid w:val="4FD23C92"/>
    <w:rsid w:val="500F6434"/>
    <w:rsid w:val="5032028D"/>
    <w:rsid w:val="503F0BFC"/>
    <w:rsid w:val="505C17AE"/>
    <w:rsid w:val="505F4DFA"/>
    <w:rsid w:val="506F14E1"/>
    <w:rsid w:val="50966A6E"/>
    <w:rsid w:val="50BC224C"/>
    <w:rsid w:val="50FD4D3F"/>
    <w:rsid w:val="50FE4613"/>
    <w:rsid w:val="50FF3217"/>
    <w:rsid w:val="511C7253"/>
    <w:rsid w:val="515D57DD"/>
    <w:rsid w:val="51870AAC"/>
    <w:rsid w:val="51E8779D"/>
    <w:rsid w:val="521265C8"/>
    <w:rsid w:val="527E3C5D"/>
    <w:rsid w:val="52AB21A1"/>
    <w:rsid w:val="53000B16"/>
    <w:rsid w:val="535A6478"/>
    <w:rsid w:val="537A08C9"/>
    <w:rsid w:val="53E45D42"/>
    <w:rsid w:val="5415414D"/>
    <w:rsid w:val="5434276E"/>
    <w:rsid w:val="54752E3E"/>
    <w:rsid w:val="547E7F44"/>
    <w:rsid w:val="548B440F"/>
    <w:rsid w:val="54F621D1"/>
    <w:rsid w:val="55DB3F9E"/>
    <w:rsid w:val="55E14C80"/>
    <w:rsid w:val="562B5EAA"/>
    <w:rsid w:val="56352885"/>
    <w:rsid w:val="56717635"/>
    <w:rsid w:val="568E5C3E"/>
    <w:rsid w:val="56F52014"/>
    <w:rsid w:val="57284198"/>
    <w:rsid w:val="5753390A"/>
    <w:rsid w:val="57D73805"/>
    <w:rsid w:val="582F1556"/>
    <w:rsid w:val="584119B5"/>
    <w:rsid w:val="589917F1"/>
    <w:rsid w:val="58E04ED5"/>
    <w:rsid w:val="590824D3"/>
    <w:rsid w:val="59260A9D"/>
    <w:rsid w:val="59A26483"/>
    <w:rsid w:val="5A101114"/>
    <w:rsid w:val="5A4C4641"/>
    <w:rsid w:val="5A7E6DA4"/>
    <w:rsid w:val="5A7F1C84"/>
    <w:rsid w:val="5AAD3DF1"/>
    <w:rsid w:val="5ABB079A"/>
    <w:rsid w:val="5ACE32A8"/>
    <w:rsid w:val="5ADA39FB"/>
    <w:rsid w:val="5AE255C8"/>
    <w:rsid w:val="5AFF16B3"/>
    <w:rsid w:val="5B095C3B"/>
    <w:rsid w:val="5B353E90"/>
    <w:rsid w:val="5B386806"/>
    <w:rsid w:val="5B48305A"/>
    <w:rsid w:val="5BC36B85"/>
    <w:rsid w:val="5BD9208C"/>
    <w:rsid w:val="5BEE68B2"/>
    <w:rsid w:val="5BF64864"/>
    <w:rsid w:val="5C0D1BAE"/>
    <w:rsid w:val="5CD5091E"/>
    <w:rsid w:val="5CD86660"/>
    <w:rsid w:val="5CF6693B"/>
    <w:rsid w:val="5D551A5E"/>
    <w:rsid w:val="5D79752D"/>
    <w:rsid w:val="5DA6054A"/>
    <w:rsid w:val="5E1436C8"/>
    <w:rsid w:val="5E1E58F0"/>
    <w:rsid w:val="5E96232F"/>
    <w:rsid w:val="5F23665C"/>
    <w:rsid w:val="5F644FAC"/>
    <w:rsid w:val="5F6D12E1"/>
    <w:rsid w:val="5FB82366"/>
    <w:rsid w:val="5FBB641C"/>
    <w:rsid w:val="5FC0209B"/>
    <w:rsid w:val="60151D76"/>
    <w:rsid w:val="601E082E"/>
    <w:rsid w:val="602B1E68"/>
    <w:rsid w:val="60870181"/>
    <w:rsid w:val="60C04DBB"/>
    <w:rsid w:val="612C6F7A"/>
    <w:rsid w:val="613100ED"/>
    <w:rsid w:val="61C84EF5"/>
    <w:rsid w:val="61CE48E1"/>
    <w:rsid w:val="61D5316E"/>
    <w:rsid w:val="61F96FB8"/>
    <w:rsid w:val="621B0630"/>
    <w:rsid w:val="62285994"/>
    <w:rsid w:val="626E095F"/>
    <w:rsid w:val="62742987"/>
    <w:rsid w:val="6280757E"/>
    <w:rsid w:val="62F85366"/>
    <w:rsid w:val="63040DEB"/>
    <w:rsid w:val="63247F09"/>
    <w:rsid w:val="632E0D88"/>
    <w:rsid w:val="636447A9"/>
    <w:rsid w:val="63660521"/>
    <w:rsid w:val="6373518F"/>
    <w:rsid w:val="63BD210C"/>
    <w:rsid w:val="63C40908"/>
    <w:rsid w:val="63C47A82"/>
    <w:rsid w:val="63C74CF9"/>
    <w:rsid w:val="63D062E3"/>
    <w:rsid w:val="63E745C0"/>
    <w:rsid w:val="63EE6769"/>
    <w:rsid w:val="64542A70"/>
    <w:rsid w:val="64610CE9"/>
    <w:rsid w:val="651B17E0"/>
    <w:rsid w:val="654140A9"/>
    <w:rsid w:val="654C7BEB"/>
    <w:rsid w:val="657A6506"/>
    <w:rsid w:val="659B09D6"/>
    <w:rsid w:val="65BC3BEF"/>
    <w:rsid w:val="65C92FEA"/>
    <w:rsid w:val="65E971E8"/>
    <w:rsid w:val="6649125A"/>
    <w:rsid w:val="664E6F34"/>
    <w:rsid w:val="664F7993"/>
    <w:rsid w:val="66566A29"/>
    <w:rsid w:val="66655FA4"/>
    <w:rsid w:val="66DE1FD0"/>
    <w:rsid w:val="66E53E53"/>
    <w:rsid w:val="66EA6FBA"/>
    <w:rsid w:val="67386679"/>
    <w:rsid w:val="67780823"/>
    <w:rsid w:val="677F6056"/>
    <w:rsid w:val="67861828"/>
    <w:rsid w:val="679E5D59"/>
    <w:rsid w:val="67B70783"/>
    <w:rsid w:val="68273463"/>
    <w:rsid w:val="682E182A"/>
    <w:rsid w:val="6830186B"/>
    <w:rsid w:val="68906041"/>
    <w:rsid w:val="68B735CD"/>
    <w:rsid w:val="68E5202A"/>
    <w:rsid w:val="69083E29"/>
    <w:rsid w:val="690D143F"/>
    <w:rsid w:val="691C6622"/>
    <w:rsid w:val="691F746E"/>
    <w:rsid w:val="695321F2"/>
    <w:rsid w:val="69817394"/>
    <w:rsid w:val="69833C19"/>
    <w:rsid w:val="69891F83"/>
    <w:rsid w:val="69AE677E"/>
    <w:rsid w:val="6A1862EE"/>
    <w:rsid w:val="6A331612"/>
    <w:rsid w:val="6A8E16E0"/>
    <w:rsid w:val="6A910EFD"/>
    <w:rsid w:val="6AC975E8"/>
    <w:rsid w:val="6AD519BD"/>
    <w:rsid w:val="6AD83814"/>
    <w:rsid w:val="6AF63F7B"/>
    <w:rsid w:val="6C0134DD"/>
    <w:rsid w:val="6C186A79"/>
    <w:rsid w:val="6C4B4758"/>
    <w:rsid w:val="6C9360FF"/>
    <w:rsid w:val="6CB1098B"/>
    <w:rsid w:val="6CC9630F"/>
    <w:rsid w:val="6D090170"/>
    <w:rsid w:val="6D485643"/>
    <w:rsid w:val="6DC741A0"/>
    <w:rsid w:val="6E4E6782"/>
    <w:rsid w:val="6EB56801"/>
    <w:rsid w:val="6EF53865"/>
    <w:rsid w:val="6F085ACB"/>
    <w:rsid w:val="6F122A87"/>
    <w:rsid w:val="6F355C1A"/>
    <w:rsid w:val="6F767D3E"/>
    <w:rsid w:val="6F8B1310"/>
    <w:rsid w:val="6FC82564"/>
    <w:rsid w:val="6FD76B30"/>
    <w:rsid w:val="6FFD1F3A"/>
    <w:rsid w:val="700139AE"/>
    <w:rsid w:val="701D640C"/>
    <w:rsid w:val="70726596"/>
    <w:rsid w:val="70952446"/>
    <w:rsid w:val="712A2F15"/>
    <w:rsid w:val="71756806"/>
    <w:rsid w:val="717F6C52"/>
    <w:rsid w:val="71884178"/>
    <w:rsid w:val="71D074AE"/>
    <w:rsid w:val="71D76A8E"/>
    <w:rsid w:val="72103F0B"/>
    <w:rsid w:val="722B795D"/>
    <w:rsid w:val="72E41463"/>
    <w:rsid w:val="72FB418A"/>
    <w:rsid w:val="73075151"/>
    <w:rsid w:val="73261A7B"/>
    <w:rsid w:val="736600CA"/>
    <w:rsid w:val="736E6F7E"/>
    <w:rsid w:val="73C01974"/>
    <w:rsid w:val="73D76F5F"/>
    <w:rsid w:val="74100036"/>
    <w:rsid w:val="741C1198"/>
    <w:rsid w:val="74244545"/>
    <w:rsid w:val="743B1556"/>
    <w:rsid w:val="747F5030"/>
    <w:rsid w:val="749B1616"/>
    <w:rsid w:val="74BC49BC"/>
    <w:rsid w:val="74EF6A1B"/>
    <w:rsid w:val="74FD4A5E"/>
    <w:rsid w:val="750158DE"/>
    <w:rsid w:val="75991CE6"/>
    <w:rsid w:val="759A22AD"/>
    <w:rsid w:val="75A1363B"/>
    <w:rsid w:val="75DF4163"/>
    <w:rsid w:val="75E74C1C"/>
    <w:rsid w:val="75EB3210"/>
    <w:rsid w:val="761958C7"/>
    <w:rsid w:val="762F50EB"/>
    <w:rsid w:val="7662101C"/>
    <w:rsid w:val="76B61368"/>
    <w:rsid w:val="76C3652E"/>
    <w:rsid w:val="76CD7B2E"/>
    <w:rsid w:val="76E01F41"/>
    <w:rsid w:val="76E220FA"/>
    <w:rsid w:val="76EE28B0"/>
    <w:rsid w:val="76F66A2F"/>
    <w:rsid w:val="77701517"/>
    <w:rsid w:val="777032C5"/>
    <w:rsid w:val="777609DA"/>
    <w:rsid w:val="778B761D"/>
    <w:rsid w:val="77A2719E"/>
    <w:rsid w:val="77B07B7C"/>
    <w:rsid w:val="77C27899"/>
    <w:rsid w:val="77EA5A1C"/>
    <w:rsid w:val="784604CA"/>
    <w:rsid w:val="784F55D0"/>
    <w:rsid w:val="788039DC"/>
    <w:rsid w:val="78917997"/>
    <w:rsid w:val="78AD3120"/>
    <w:rsid w:val="78BC0CF1"/>
    <w:rsid w:val="790E0FE8"/>
    <w:rsid w:val="792E168A"/>
    <w:rsid w:val="7943341B"/>
    <w:rsid w:val="795310F0"/>
    <w:rsid w:val="795F7A95"/>
    <w:rsid w:val="798769AD"/>
    <w:rsid w:val="7A067F11"/>
    <w:rsid w:val="7A135514"/>
    <w:rsid w:val="7A193C31"/>
    <w:rsid w:val="7A560E98"/>
    <w:rsid w:val="7A6F3D08"/>
    <w:rsid w:val="7AB05929"/>
    <w:rsid w:val="7AD16771"/>
    <w:rsid w:val="7AD93877"/>
    <w:rsid w:val="7B000E04"/>
    <w:rsid w:val="7B114DBF"/>
    <w:rsid w:val="7B65510B"/>
    <w:rsid w:val="7BBF481B"/>
    <w:rsid w:val="7BE40725"/>
    <w:rsid w:val="7BE44282"/>
    <w:rsid w:val="7C376AA7"/>
    <w:rsid w:val="7CA0289E"/>
    <w:rsid w:val="7CC12815"/>
    <w:rsid w:val="7CDC31AB"/>
    <w:rsid w:val="7D0163B1"/>
    <w:rsid w:val="7D627B54"/>
    <w:rsid w:val="7D8B4E6C"/>
    <w:rsid w:val="7E1E7F1F"/>
    <w:rsid w:val="7E3223E5"/>
    <w:rsid w:val="7E8D0C00"/>
    <w:rsid w:val="7E8F3593"/>
    <w:rsid w:val="7F1D5AFB"/>
    <w:rsid w:val="7F494367"/>
    <w:rsid w:val="7F9D2987"/>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6"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jc w:val="both"/>
    </w:pPr>
    <w:rPr>
      <w:rFonts w:ascii="宋体" w:hAnsi="宋体" w:eastAsia="宋体" w:cstheme="minorBidi"/>
      <w:kern w:val="2"/>
      <w:sz w:val="24"/>
      <w:szCs w:val="24"/>
      <w:lang w:val="en-US" w:eastAsia="zh-CN" w:bidi="ar-SA"/>
    </w:rPr>
  </w:style>
  <w:style w:type="paragraph" w:styleId="2">
    <w:name w:val="heading 3"/>
    <w:basedOn w:val="1"/>
    <w:next w:val="1"/>
    <w:link w:val="30"/>
    <w:qFormat/>
    <w:uiPriority w:val="0"/>
    <w:pPr>
      <w:keepNext/>
      <w:keepLines/>
      <w:spacing w:before="260" w:after="260" w:line="416" w:lineRule="auto"/>
      <w:outlineLvl w:val="2"/>
    </w:pPr>
    <w:rPr>
      <w:rFonts w:ascii="Times New Roman" w:hAnsi="Times New Roman" w:eastAsia="仿宋_GB2312" w:cs="Times New Roman"/>
      <w:b/>
      <w:bCs/>
      <w:sz w:val="28"/>
      <w:szCs w:val="32"/>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3">
    <w:name w:val="Normal Indent"/>
    <w:basedOn w:val="1"/>
    <w:qFormat/>
    <w:uiPriority w:val="99"/>
    <w:pPr>
      <w:ind w:firstLine="420"/>
    </w:pPr>
    <w:rPr>
      <w:rFonts w:eastAsia="楷体_GB2312"/>
    </w:rPr>
  </w:style>
  <w:style w:type="paragraph" w:styleId="4">
    <w:name w:val="annotation text"/>
    <w:basedOn w:val="1"/>
    <w:link w:val="26"/>
    <w:qFormat/>
    <w:uiPriority w:val="0"/>
    <w:pPr>
      <w:spacing w:line="274" w:lineRule="auto"/>
      <w:ind w:firstLine="200" w:firstLineChars="200"/>
      <w:jc w:val="left"/>
    </w:pPr>
    <w:rPr>
      <w:rFonts w:ascii="Calibri" w:hAnsi="Calibri" w:cs="Times New Roman"/>
    </w:rPr>
  </w:style>
  <w:style w:type="paragraph" w:styleId="5">
    <w:name w:val="Body Text"/>
    <w:basedOn w:val="1"/>
    <w:next w:val="1"/>
    <w:link w:val="21"/>
    <w:autoRedefine/>
    <w:qFormat/>
    <w:uiPriority w:val="0"/>
    <w:pPr>
      <w:ind w:firstLine="480" w:firstLineChars="200"/>
    </w:pPr>
    <w:rPr>
      <w:rFonts w:ascii="Times New Roman" w:hAnsi="Times New Roman"/>
    </w:rPr>
  </w:style>
  <w:style w:type="paragraph" w:styleId="6">
    <w:name w:val="Block Text"/>
    <w:basedOn w:val="1"/>
    <w:autoRedefine/>
    <w:qFormat/>
    <w:uiPriority w:val="6"/>
    <w:pPr>
      <w:ind w:left="420" w:right="33"/>
    </w:pPr>
  </w:style>
  <w:style w:type="paragraph" w:styleId="7">
    <w:name w:val="Plain Text"/>
    <w:basedOn w:val="1"/>
    <w:link w:val="22"/>
    <w:autoRedefine/>
    <w:qFormat/>
    <w:uiPriority w:val="0"/>
    <w:rPr>
      <w:rFonts w:hAnsi="Courier New"/>
    </w:rPr>
  </w:style>
  <w:style w:type="paragraph" w:styleId="8">
    <w:name w:val="footer"/>
    <w:basedOn w:val="1"/>
    <w:link w:val="18"/>
    <w:autoRedefine/>
    <w:unhideWhenUsed/>
    <w:qFormat/>
    <w:uiPriority w:val="99"/>
    <w:pPr>
      <w:tabs>
        <w:tab w:val="center" w:pos="4153"/>
        <w:tab w:val="right" w:pos="8306"/>
      </w:tabs>
      <w:snapToGrid w:val="0"/>
      <w:jc w:val="left"/>
    </w:pPr>
    <w:rPr>
      <w:sz w:val="18"/>
      <w:szCs w:val="18"/>
    </w:rPr>
  </w:style>
  <w:style w:type="paragraph" w:styleId="9">
    <w:name w:val="envelope return"/>
    <w:basedOn w:val="1"/>
    <w:qFormat/>
    <w:uiPriority w:val="0"/>
    <w:pPr>
      <w:snapToGrid w:val="0"/>
      <w:spacing w:line="274" w:lineRule="auto"/>
      <w:ind w:firstLine="200" w:firstLineChars="200"/>
    </w:pPr>
    <w:rPr>
      <w:rFonts w:ascii="Arial" w:hAnsi="Arial" w:cs="Times New Roman"/>
    </w:rPr>
  </w:style>
  <w:style w:type="paragraph" w:styleId="10">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Subtitle"/>
    <w:basedOn w:val="1"/>
    <w:next w:val="1"/>
    <w:link w:val="29"/>
    <w:qFormat/>
    <w:uiPriority w:val="11"/>
    <w:pPr>
      <w:spacing w:before="240" w:after="120" w:line="312" w:lineRule="auto"/>
      <w:ind w:left="100" w:leftChars="100" w:right="100" w:rightChars="100" w:firstLine="200" w:firstLineChars="200"/>
      <w:jc w:val="center"/>
      <w:outlineLvl w:val="1"/>
    </w:pPr>
    <w:rPr>
      <w:rFonts w:ascii="Cambria" w:hAnsi="Cambria" w:eastAsia="仿宋_GB2312" w:cs="Times New Roman"/>
      <w:b/>
      <w:bCs/>
      <w:kern w:val="28"/>
      <w:sz w:val="32"/>
      <w:szCs w:val="32"/>
    </w:rPr>
  </w:style>
  <w:style w:type="paragraph" w:styleId="12">
    <w:name w:val="Normal (Web)"/>
    <w:basedOn w:val="1"/>
    <w:autoRedefine/>
    <w:unhideWhenUsed/>
    <w:qFormat/>
    <w:uiPriority w:val="99"/>
    <w:pPr>
      <w:spacing w:before="100" w:beforeAutospacing="1" w:after="100" w:afterAutospacing="1"/>
      <w:jc w:val="left"/>
    </w:pPr>
    <w:rPr>
      <w:rFonts w:ascii="Times New Roman" w:hAnsi="Times New Roman" w:cs="Times New Roman"/>
      <w:kern w:val="0"/>
      <w:szCs w:val="20"/>
    </w:rPr>
  </w:style>
  <w:style w:type="table" w:styleId="14">
    <w:name w:val="Table Grid"/>
    <w:basedOn w:val="1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customStyle="1" w:styleId="17">
    <w:name w:val="页眉 字符"/>
    <w:basedOn w:val="15"/>
    <w:link w:val="10"/>
    <w:autoRedefine/>
    <w:qFormat/>
    <w:uiPriority w:val="99"/>
    <w:rPr>
      <w:sz w:val="18"/>
      <w:szCs w:val="18"/>
    </w:rPr>
  </w:style>
  <w:style w:type="character" w:customStyle="1" w:styleId="18">
    <w:name w:val="页脚 字符"/>
    <w:basedOn w:val="15"/>
    <w:link w:val="8"/>
    <w:autoRedefine/>
    <w:qFormat/>
    <w:uiPriority w:val="99"/>
    <w:rPr>
      <w:sz w:val="18"/>
      <w:szCs w:val="18"/>
    </w:rPr>
  </w:style>
  <w:style w:type="paragraph" w:styleId="19">
    <w:name w:val="List Paragraph"/>
    <w:basedOn w:val="1"/>
    <w:autoRedefine/>
    <w:qFormat/>
    <w:uiPriority w:val="34"/>
    <w:pPr>
      <w:numPr>
        <w:ilvl w:val="0"/>
        <w:numId w:val="1"/>
      </w:numPr>
      <w:ind w:firstLine="420"/>
    </w:pPr>
    <w:rPr>
      <w:rFonts w:ascii="Times New Roman" w:hAnsi="Times New Roman" w:cs="Times New Roman"/>
      <w:b/>
      <w:bCs/>
    </w:rPr>
  </w:style>
  <w:style w:type="paragraph" w:customStyle="1" w:styleId="20">
    <w:name w:val="Blockquote"/>
    <w:basedOn w:val="1"/>
    <w:autoRedefine/>
    <w:qFormat/>
    <w:uiPriority w:val="99"/>
    <w:pPr>
      <w:overflowPunct w:val="0"/>
      <w:autoSpaceDE w:val="0"/>
      <w:autoSpaceDN w:val="0"/>
      <w:adjustRightInd w:val="0"/>
      <w:spacing w:before="100" w:after="100"/>
      <w:ind w:left="764" w:right="567"/>
      <w:jc w:val="left"/>
    </w:pPr>
    <w:rPr>
      <w:kern w:val="0"/>
    </w:rPr>
  </w:style>
  <w:style w:type="character" w:customStyle="1" w:styleId="21">
    <w:name w:val="正文文本 字符"/>
    <w:basedOn w:val="15"/>
    <w:link w:val="5"/>
    <w:qFormat/>
    <w:uiPriority w:val="0"/>
    <w:rPr>
      <w:rFonts w:cstheme="minorBidi"/>
      <w:kern w:val="2"/>
      <w:sz w:val="24"/>
      <w:szCs w:val="24"/>
    </w:rPr>
  </w:style>
  <w:style w:type="character" w:customStyle="1" w:styleId="22">
    <w:name w:val="纯文本 字符"/>
    <w:link w:val="7"/>
    <w:qFormat/>
    <w:locked/>
    <w:uiPriority w:val="0"/>
    <w:rPr>
      <w:rFonts w:ascii="宋体" w:hAnsi="Courier New" w:eastAsiaTheme="minorEastAsia" w:cstheme="minorBidi"/>
      <w:kern w:val="2"/>
      <w:sz w:val="21"/>
      <w:szCs w:val="22"/>
    </w:rPr>
  </w:style>
  <w:style w:type="character" w:customStyle="1" w:styleId="23">
    <w:name w:val="Body text|1_"/>
    <w:basedOn w:val="15"/>
    <w:link w:val="24"/>
    <w:qFormat/>
    <w:uiPriority w:val="0"/>
    <w:rPr>
      <w:rFonts w:ascii="MingLiU" w:hAnsi="MingLiU" w:eastAsia="MingLiU" w:cs="MingLiU"/>
      <w:lang w:val="zh-TW" w:eastAsia="zh-TW" w:bidi="zh-TW"/>
    </w:rPr>
  </w:style>
  <w:style w:type="paragraph" w:customStyle="1" w:styleId="24">
    <w:name w:val="Body text|1"/>
    <w:basedOn w:val="1"/>
    <w:link w:val="23"/>
    <w:qFormat/>
    <w:uiPriority w:val="0"/>
    <w:pPr>
      <w:spacing w:line="470" w:lineRule="auto"/>
      <w:ind w:firstLine="400"/>
      <w:jc w:val="left"/>
    </w:pPr>
    <w:rPr>
      <w:rFonts w:ascii="MingLiU" w:hAnsi="MingLiU" w:eastAsia="MingLiU" w:cs="MingLiU"/>
      <w:kern w:val="0"/>
      <w:sz w:val="20"/>
      <w:szCs w:val="20"/>
      <w:lang w:val="zh-TW" w:eastAsia="zh-TW" w:bidi="zh-TW"/>
    </w:rPr>
  </w:style>
  <w:style w:type="character" w:customStyle="1" w:styleId="25">
    <w:name w:val="批注文字 字符"/>
    <w:basedOn w:val="15"/>
    <w:semiHidden/>
    <w:qFormat/>
    <w:uiPriority w:val="99"/>
    <w:rPr>
      <w:rFonts w:asciiTheme="minorHAnsi" w:hAnsiTheme="minorHAnsi" w:eastAsiaTheme="minorEastAsia" w:cstheme="minorBidi"/>
      <w:kern w:val="2"/>
      <w:sz w:val="21"/>
      <w:szCs w:val="22"/>
    </w:rPr>
  </w:style>
  <w:style w:type="character" w:customStyle="1" w:styleId="26">
    <w:name w:val="批注文字 字符1"/>
    <w:link w:val="4"/>
    <w:qFormat/>
    <w:uiPriority w:val="0"/>
    <w:rPr>
      <w:rFonts w:ascii="Calibri" w:hAnsi="Calibri"/>
      <w:kern w:val="2"/>
      <w:sz w:val="24"/>
      <w:szCs w:val="24"/>
    </w:rPr>
  </w:style>
  <w:style w:type="paragraph" w:customStyle="1" w:styleId="27">
    <w:name w:val="Table Paragraph"/>
    <w:basedOn w:val="1"/>
    <w:qFormat/>
    <w:uiPriority w:val="1"/>
    <w:pPr>
      <w:autoSpaceDE w:val="0"/>
      <w:autoSpaceDN w:val="0"/>
      <w:jc w:val="left"/>
    </w:pPr>
    <w:rPr>
      <w:rFonts w:cs="宋体"/>
      <w:kern w:val="0"/>
      <w:sz w:val="22"/>
      <w:lang w:val="zh-CN" w:bidi="zh-CN"/>
    </w:rPr>
  </w:style>
  <w:style w:type="table" w:customStyle="1" w:styleId="2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29">
    <w:name w:val="副标题 字符"/>
    <w:basedOn w:val="15"/>
    <w:link w:val="11"/>
    <w:qFormat/>
    <w:uiPriority w:val="11"/>
    <w:rPr>
      <w:rFonts w:ascii="Cambria" w:hAnsi="Cambria" w:eastAsia="仿宋_GB2312"/>
      <w:b/>
      <w:bCs/>
      <w:kern w:val="28"/>
      <w:sz w:val="32"/>
      <w:szCs w:val="32"/>
    </w:rPr>
  </w:style>
  <w:style w:type="character" w:customStyle="1" w:styleId="30">
    <w:name w:val="标题 3 字符"/>
    <w:basedOn w:val="15"/>
    <w:link w:val="2"/>
    <w:qFormat/>
    <w:uiPriority w:val="0"/>
    <w:rPr>
      <w:rFonts w:eastAsia="仿宋_GB2312"/>
      <w:b/>
      <w:bCs/>
      <w:kern w:val="2"/>
      <w:sz w:val="28"/>
      <w:szCs w:val="32"/>
    </w:rPr>
  </w:style>
  <w:style w:type="paragraph" w:customStyle="1" w:styleId="31">
    <w:name w:val="一级条标题"/>
    <w:basedOn w:val="32"/>
    <w:next w:val="33"/>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32">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33">
    <w:name w:val="段"/>
    <w:basedOn w:val="1"/>
    <w:next w:val="1"/>
    <w:qFormat/>
    <w:uiPriority w:val="0"/>
    <w:pPr>
      <w:widowControl/>
      <w:autoSpaceDE w:val="0"/>
      <w:autoSpaceDN w:val="0"/>
      <w:ind w:firstLine="200" w:firstLineChars="200"/>
    </w:pPr>
    <w:rPr>
      <w:rFonts w:hint="eastAsia"/>
      <w:kern w:val="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中国矿业大学徐海学院</Company>
  <Pages>12</Pages>
  <Words>5253</Words>
  <Characters>5496</Characters>
  <Lines>43</Lines>
  <Paragraphs>12</Paragraphs>
  <TotalTime>21</TotalTime>
  <ScaleCrop>false</ScaleCrop>
  <LinksUpToDate>false</LinksUpToDate>
  <CharactersWithSpaces>6032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2023-11-14T10:37:00Z</dcterms:created>
  <dc:creator>余强</dc:creator>
  <cp:lastModifiedBy>Tiger.</cp:lastModifiedBy>
  <cp:lastPrinted>2026-06-01T07:37:00Z</cp:lastPrinted>
  <dcterms:modified xsi:type="dcterms:W3CDTF">2026-06-01T10:40:54Z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433FD0FD2D9844AD831FCF559BF5D19B_13</vt:lpwstr>
  </property>
  <property fmtid="{D5CDD505-2E9C-101B-9397-08002B2CF9AE}" pid="4" name="KSOTemplateDocerSaveRecord">
    <vt:lpwstr>eyJoZGlkIjoiYjFlOTEyMmZlZWExMWYxMmRlN2M1ZTg0ZWM1NmU4NTIiLCJ1c2VySWQiOiI0NjA5MDM1NTcifQ==</vt:lpwstr>
  </property>
</Properties>
</file>